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FAC" w:rsidRPr="002E4B90" w:rsidRDefault="005F0FAC" w:rsidP="005F0FAC">
      <w:pPr>
        <w:rPr>
          <w:rFonts w:ascii="Arial" w:hAnsi="Arial" w:cs="Arial"/>
          <w:b/>
          <w:bCs/>
          <w:sz w:val="22"/>
          <w:szCs w:val="22"/>
        </w:rPr>
      </w:pPr>
      <w:r w:rsidRPr="002E4B90">
        <w:rPr>
          <w:rFonts w:ascii="Arial" w:hAnsi="Arial" w:cs="Arial"/>
          <w:b/>
          <w:bCs/>
          <w:sz w:val="22"/>
          <w:szCs w:val="22"/>
        </w:rPr>
        <w:t>EXCELENTÍSSIMO SENHOR PRESIDENTE DO TRIBUNAL DE CONTAS DO ESTADO DO PIAUÍ</w:t>
      </w:r>
    </w:p>
    <w:p w:rsidR="005F0FAC" w:rsidRDefault="005F0FAC" w:rsidP="005F0FAC">
      <w:pPr>
        <w:rPr>
          <w:rFonts w:ascii="Arial" w:hAnsi="Arial" w:cs="Arial"/>
        </w:rPr>
      </w:pPr>
    </w:p>
    <w:p w:rsidR="005F0FAC" w:rsidRDefault="005F0FAC" w:rsidP="005F0FAC">
      <w:pPr>
        <w:tabs>
          <w:tab w:val="left" w:pos="2985"/>
        </w:tabs>
        <w:rPr>
          <w:rFonts w:ascii="Arial" w:hAnsi="Arial" w:cs="Arial"/>
        </w:rPr>
      </w:pPr>
    </w:p>
    <w:p w:rsidR="005F0FAC" w:rsidRDefault="005F0FAC" w:rsidP="005F0FAC">
      <w:pPr>
        <w:tabs>
          <w:tab w:val="left" w:pos="2985"/>
        </w:tabs>
        <w:rPr>
          <w:rFonts w:ascii="Arial" w:hAnsi="Arial" w:cs="Arial"/>
        </w:rPr>
      </w:pPr>
    </w:p>
    <w:p w:rsidR="005F0FAC" w:rsidRDefault="005F0FAC" w:rsidP="005F0FAC">
      <w:pPr>
        <w:tabs>
          <w:tab w:val="left" w:pos="2985"/>
        </w:tabs>
        <w:rPr>
          <w:rFonts w:ascii="Arial" w:hAnsi="Arial" w:cs="Arial"/>
        </w:rPr>
      </w:pPr>
    </w:p>
    <w:p w:rsidR="005F0FAC" w:rsidRDefault="005F0FAC" w:rsidP="005F0FAC">
      <w:pPr>
        <w:tabs>
          <w:tab w:val="left" w:pos="2985"/>
        </w:tabs>
        <w:rPr>
          <w:rFonts w:ascii="Arial" w:hAnsi="Arial" w:cs="Arial"/>
        </w:rPr>
      </w:pPr>
    </w:p>
    <w:p w:rsidR="005F0FAC" w:rsidRDefault="005F0FAC" w:rsidP="005F0FAC">
      <w:pPr>
        <w:tabs>
          <w:tab w:val="left" w:pos="2985"/>
        </w:tabs>
        <w:jc w:val="both"/>
        <w:rPr>
          <w:rFonts w:ascii="Arial" w:hAnsi="Arial" w:cs="Arial"/>
        </w:rPr>
      </w:pPr>
    </w:p>
    <w:p w:rsidR="005F0FAC" w:rsidRDefault="005F0FAC" w:rsidP="005F0FAC">
      <w:pPr>
        <w:tabs>
          <w:tab w:val="left" w:pos="2985"/>
        </w:tabs>
        <w:rPr>
          <w:rFonts w:ascii="Arial" w:hAnsi="Arial" w:cs="Arial"/>
        </w:rPr>
      </w:pPr>
    </w:p>
    <w:p w:rsidR="005F0FAC" w:rsidRDefault="005F0FAC" w:rsidP="005F0FAC">
      <w:pPr>
        <w:tabs>
          <w:tab w:val="left" w:pos="2985"/>
        </w:tabs>
        <w:rPr>
          <w:rFonts w:ascii="Arial" w:hAnsi="Arial" w:cs="Arial"/>
        </w:rPr>
      </w:pPr>
    </w:p>
    <w:p w:rsidR="005F0FAC" w:rsidRDefault="005F0FAC" w:rsidP="005F0FAC">
      <w:pPr>
        <w:tabs>
          <w:tab w:val="left" w:pos="2985"/>
        </w:tabs>
        <w:rPr>
          <w:rFonts w:ascii="Arial" w:hAnsi="Arial" w:cs="Arial"/>
        </w:rPr>
      </w:pPr>
    </w:p>
    <w:p w:rsidR="005F0FAC" w:rsidRDefault="005F0FAC" w:rsidP="005F0FAC">
      <w:pPr>
        <w:tabs>
          <w:tab w:val="left" w:pos="2985"/>
        </w:tabs>
        <w:rPr>
          <w:rFonts w:ascii="Arial" w:hAnsi="Arial" w:cs="Arial"/>
        </w:rPr>
      </w:pPr>
    </w:p>
    <w:p w:rsidR="005F0FAC" w:rsidRDefault="005F0FAC" w:rsidP="005F0FAC">
      <w:pPr>
        <w:tabs>
          <w:tab w:val="left" w:pos="2985"/>
        </w:tabs>
        <w:rPr>
          <w:rFonts w:ascii="Arial" w:hAnsi="Arial" w:cs="Arial"/>
        </w:rPr>
      </w:pPr>
    </w:p>
    <w:p w:rsidR="005F0FAC" w:rsidRDefault="005F0FAC" w:rsidP="005F0FAC">
      <w:pPr>
        <w:tabs>
          <w:tab w:val="left" w:pos="2985"/>
        </w:tabs>
        <w:rPr>
          <w:rFonts w:ascii="Arial" w:hAnsi="Arial" w:cs="Arial"/>
        </w:rPr>
      </w:pPr>
    </w:p>
    <w:p w:rsidR="005F0FAC" w:rsidRDefault="005F0FAC" w:rsidP="005F0FAC">
      <w:pPr>
        <w:tabs>
          <w:tab w:val="left" w:pos="2985"/>
        </w:tabs>
        <w:rPr>
          <w:rFonts w:ascii="Arial" w:hAnsi="Arial" w:cs="Arial"/>
        </w:rPr>
      </w:pPr>
    </w:p>
    <w:p w:rsidR="005F0FAC" w:rsidRDefault="005F0FAC" w:rsidP="005F0FAC">
      <w:pPr>
        <w:tabs>
          <w:tab w:val="left" w:pos="2985"/>
        </w:tabs>
        <w:rPr>
          <w:rFonts w:ascii="Arial" w:hAnsi="Arial" w:cs="Arial"/>
        </w:rPr>
      </w:pPr>
    </w:p>
    <w:p w:rsidR="005F0FAC" w:rsidRDefault="005F0FAC" w:rsidP="005F0FAC">
      <w:pPr>
        <w:tabs>
          <w:tab w:val="left" w:pos="2985"/>
        </w:tabs>
        <w:rPr>
          <w:rFonts w:ascii="Arial" w:hAnsi="Arial" w:cs="Arial"/>
        </w:rPr>
      </w:pPr>
    </w:p>
    <w:p w:rsidR="005F0FAC" w:rsidRDefault="005F0FAC" w:rsidP="005F0FAC">
      <w:pPr>
        <w:rPr>
          <w:rFonts w:ascii="Arial" w:hAnsi="Arial" w:cs="Arial"/>
        </w:rPr>
      </w:pPr>
    </w:p>
    <w:p w:rsidR="005F0FAC" w:rsidRDefault="005F0FAC" w:rsidP="005F0FAC">
      <w:pPr>
        <w:tabs>
          <w:tab w:val="left" w:pos="1485"/>
        </w:tabs>
        <w:rPr>
          <w:rFonts w:ascii="Arial" w:hAnsi="Arial" w:cs="Arial"/>
        </w:rPr>
      </w:pPr>
    </w:p>
    <w:p w:rsidR="005F0FAC" w:rsidRDefault="005F0FAC" w:rsidP="005F0FAC">
      <w:pPr>
        <w:rPr>
          <w:rFonts w:ascii="Arial" w:hAnsi="Arial" w:cs="Arial"/>
        </w:rPr>
      </w:pPr>
    </w:p>
    <w:p w:rsidR="005F0FAC" w:rsidRDefault="005F0FAC" w:rsidP="005F0FAC">
      <w:pPr>
        <w:rPr>
          <w:rFonts w:ascii="Arial" w:hAnsi="Arial" w:cs="Arial"/>
        </w:rPr>
      </w:pPr>
    </w:p>
    <w:p w:rsidR="005F0FAC" w:rsidRDefault="005F0FAC" w:rsidP="005F0FAC">
      <w:pPr>
        <w:rPr>
          <w:rFonts w:ascii="Arial" w:hAnsi="Arial" w:cs="Arial"/>
        </w:rPr>
      </w:pPr>
    </w:p>
    <w:p w:rsidR="005F0FAC" w:rsidRDefault="005F0FAC" w:rsidP="005F0FAC">
      <w:pPr>
        <w:rPr>
          <w:rFonts w:ascii="Arial" w:hAnsi="Arial" w:cs="Arial"/>
        </w:rPr>
      </w:pPr>
    </w:p>
    <w:p w:rsidR="005F0FAC" w:rsidRDefault="005F0FAC" w:rsidP="005F0FAC">
      <w:pPr>
        <w:rPr>
          <w:rFonts w:ascii="Arial" w:hAnsi="Arial" w:cs="Arial"/>
        </w:rPr>
      </w:pPr>
    </w:p>
    <w:p w:rsidR="005F0FAC" w:rsidRDefault="005F0FAC" w:rsidP="005F0FAC">
      <w:pPr>
        <w:rPr>
          <w:rFonts w:ascii="Arial" w:hAnsi="Arial" w:cs="Arial"/>
        </w:rPr>
      </w:pPr>
    </w:p>
    <w:p w:rsidR="005F0FAC" w:rsidRDefault="005F0FAC" w:rsidP="005F0FAC">
      <w:pPr>
        <w:rPr>
          <w:rFonts w:ascii="Arial" w:hAnsi="Arial" w:cs="Arial"/>
        </w:rPr>
      </w:pPr>
    </w:p>
    <w:p w:rsidR="005F0FAC" w:rsidRDefault="005F0FAC" w:rsidP="005F0FAC">
      <w:pPr>
        <w:rPr>
          <w:rFonts w:ascii="Arial" w:hAnsi="Arial" w:cs="Arial"/>
        </w:rPr>
      </w:pPr>
    </w:p>
    <w:p w:rsidR="005F0FAC" w:rsidRDefault="005F0FAC" w:rsidP="005F0FAC">
      <w:pPr>
        <w:rPr>
          <w:rFonts w:ascii="Arial" w:hAnsi="Arial" w:cs="Arial"/>
        </w:rPr>
      </w:pPr>
    </w:p>
    <w:p w:rsidR="005F0FAC" w:rsidRDefault="005F0FAC" w:rsidP="005F0FAC">
      <w:pPr>
        <w:rPr>
          <w:rFonts w:ascii="Arial" w:hAnsi="Arial" w:cs="Arial"/>
        </w:rPr>
      </w:pPr>
    </w:p>
    <w:p w:rsidR="005F0FAC" w:rsidRDefault="005F0FAC" w:rsidP="005F0FAC">
      <w:pPr>
        <w:pStyle w:val="Recuodecorpodetexto"/>
        <w:ind w:left="0"/>
        <w:rPr>
          <w:rFonts w:ascii="Arial" w:hAnsi="Arial" w:cs="Arial"/>
          <w:b/>
          <w:bCs/>
          <w:sz w:val="20"/>
        </w:rPr>
      </w:pPr>
    </w:p>
    <w:p w:rsidR="005F0FAC" w:rsidRPr="002E4B90" w:rsidRDefault="005F0FAC" w:rsidP="005F0FAC">
      <w:pPr>
        <w:pStyle w:val="Recuodecorpodetexto"/>
        <w:ind w:left="0"/>
        <w:rPr>
          <w:rFonts w:ascii="Arial" w:hAnsi="Arial" w:cs="Arial"/>
          <w:bCs/>
          <w:sz w:val="16"/>
        </w:rPr>
      </w:pPr>
    </w:p>
    <w:p w:rsidR="005F0FAC" w:rsidRDefault="005F0FAC" w:rsidP="005F0FAC">
      <w:pPr>
        <w:spacing w:line="360" w:lineRule="auto"/>
        <w:ind w:firstLine="1418"/>
        <w:jc w:val="both"/>
        <w:rPr>
          <w:rFonts w:ascii="Arial" w:hAnsi="Arial" w:cs="Arial"/>
        </w:rPr>
      </w:pPr>
      <w:r w:rsidRPr="002E4B90">
        <w:rPr>
          <w:rFonts w:ascii="Arial" w:hAnsi="Arial" w:cs="Arial"/>
          <w:bCs/>
        </w:rPr>
        <w:t>O</w:t>
      </w:r>
      <w:r>
        <w:rPr>
          <w:rFonts w:ascii="Arial" w:hAnsi="Arial" w:cs="Arial"/>
          <w:b/>
          <w:bCs/>
        </w:rPr>
        <w:t xml:space="preserve"> </w:t>
      </w:r>
      <w:r w:rsidRPr="00C31202">
        <w:rPr>
          <w:rFonts w:ascii="Arial" w:hAnsi="Arial" w:cs="Arial"/>
          <w:b/>
          <w:bCs/>
        </w:rPr>
        <w:t>MINISTÉRIO PÚBLICO DE CONTAS DO ESTADO DO PIAUÍ</w:t>
      </w:r>
      <w:r>
        <w:rPr>
          <w:rFonts w:ascii="Arial" w:hAnsi="Arial" w:cs="Arial"/>
        </w:rPr>
        <w:t xml:space="preserve">, instituição permanente a quem </w:t>
      </w:r>
      <w:proofErr w:type="gramStart"/>
      <w:r>
        <w:rPr>
          <w:rFonts w:ascii="Arial" w:hAnsi="Arial" w:cs="Arial"/>
        </w:rPr>
        <w:t>incumbe</w:t>
      </w:r>
      <w:proofErr w:type="gramEnd"/>
      <w:r>
        <w:rPr>
          <w:rFonts w:ascii="Arial" w:hAnsi="Arial" w:cs="Arial"/>
        </w:rPr>
        <w:t xml:space="preserve"> a defesa da ordem jurídica, do regime democrático e dos interesses sociais e individuais indisponíveis no âmbito da jurisdição do Tribunal de Contas, nos termos do art. 127 e art</w:t>
      </w:r>
      <w:r w:rsidRPr="002D7B54">
        <w:rPr>
          <w:rFonts w:ascii="Arial" w:hAnsi="Arial" w:cs="Arial"/>
        </w:rPr>
        <w:t>. 130, ambos da Constituição Federal, e do art. 147, da Constituição do Estado do Piauí, vem, muito respeitosamente, perante V. Exa., nos termos da Lei nº 5.888/2009</w:t>
      </w:r>
      <w:r>
        <w:rPr>
          <w:rFonts w:ascii="Arial" w:hAnsi="Arial" w:cs="Arial"/>
        </w:rPr>
        <w:t xml:space="preserve">, </w:t>
      </w:r>
      <w:r w:rsidRPr="002D7B54">
        <w:rPr>
          <w:rFonts w:ascii="Arial" w:hAnsi="Arial" w:cs="Arial"/>
        </w:rPr>
        <w:t xml:space="preserve">com </w:t>
      </w:r>
      <w:r>
        <w:rPr>
          <w:rFonts w:ascii="Arial" w:hAnsi="Arial" w:cs="Arial"/>
        </w:rPr>
        <w:t>vista a coibir grave lesão ao erário e a direito alheio</w:t>
      </w:r>
      <w:r w:rsidRPr="002D7B54">
        <w:rPr>
          <w:rFonts w:ascii="Arial" w:hAnsi="Arial" w:cs="Arial"/>
        </w:rPr>
        <w:t xml:space="preserve">, </w:t>
      </w:r>
      <w:r>
        <w:rPr>
          <w:rFonts w:ascii="Arial" w:hAnsi="Arial" w:cs="Arial"/>
        </w:rPr>
        <w:t xml:space="preserve">propor </w:t>
      </w:r>
    </w:p>
    <w:p w:rsidR="005F0FAC" w:rsidRDefault="005F0FAC" w:rsidP="005F0FAC">
      <w:pPr>
        <w:spacing w:line="360" w:lineRule="auto"/>
        <w:ind w:firstLine="1418"/>
        <w:jc w:val="both"/>
        <w:rPr>
          <w:rFonts w:ascii="Arial" w:hAnsi="Arial" w:cs="Arial"/>
        </w:rPr>
      </w:pPr>
    </w:p>
    <w:p w:rsidR="005F0FAC" w:rsidRPr="002E4B90" w:rsidRDefault="005F0FAC" w:rsidP="005F0FAC">
      <w:pPr>
        <w:spacing w:line="360" w:lineRule="auto"/>
        <w:jc w:val="center"/>
        <w:rPr>
          <w:rFonts w:ascii="Arial" w:hAnsi="Arial" w:cs="Arial"/>
          <w:b/>
          <w:sz w:val="22"/>
          <w:szCs w:val="22"/>
        </w:rPr>
      </w:pPr>
      <w:r w:rsidRPr="002E4B90">
        <w:rPr>
          <w:rFonts w:ascii="Arial" w:hAnsi="Arial" w:cs="Arial"/>
          <w:b/>
          <w:sz w:val="22"/>
          <w:szCs w:val="22"/>
        </w:rPr>
        <w:t xml:space="preserve">REPRESENTAÇÃO CUMULADA COM </w:t>
      </w:r>
    </w:p>
    <w:p w:rsidR="005F0FAC" w:rsidRPr="00F33A45" w:rsidRDefault="005F0FAC" w:rsidP="005F0FAC">
      <w:pPr>
        <w:spacing w:line="360" w:lineRule="auto"/>
        <w:jc w:val="center"/>
        <w:rPr>
          <w:rFonts w:ascii="Arial" w:hAnsi="Arial" w:cs="Arial"/>
          <w:b/>
          <w:sz w:val="22"/>
          <w:szCs w:val="22"/>
        </w:rPr>
      </w:pPr>
      <w:r w:rsidRPr="002E4B90">
        <w:rPr>
          <w:rFonts w:ascii="Arial" w:hAnsi="Arial" w:cs="Arial"/>
          <w:b/>
          <w:sz w:val="22"/>
          <w:szCs w:val="22"/>
        </w:rPr>
        <w:t>PEDIDO DE MEDIDA CAUTELAR</w:t>
      </w:r>
      <w:r w:rsidRPr="00F33A45">
        <w:rPr>
          <w:rFonts w:ascii="Arial" w:hAnsi="Arial" w:cs="Arial"/>
          <w:b/>
          <w:sz w:val="22"/>
          <w:szCs w:val="22"/>
        </w:rPr>
        <w:t xml:space="preserve"> </w:t>
      </w:r>
    </w:p>
    <w:p w:rsidR="005F0FAC" w:rsidRPr="00F33A45" w:rsidRDefault="005F0FAC" w:rsidP="005F0FAC">
      <w:pPr>
        <w:spacing w:line="360" w:lineRule="auto"/>
        <w:jc w:val="center"/>
        <w:rPr>
          <w:rFonts w:ascii="Arial" w:hAnsi="Arial" w:cs="Arial"/>
          <w:b/>
          <w:i/>
          <w:sz w:val="22"/>
          <w:szCs w:val="22"/>
        </w:rPr>
      </w:pPr>
      <w:r w:rsidRPr="00F33A45">
        <w:rPr>
          <w:rFonts w:ascii="Arial" w:hAnsi="Arial" w:cs="Arial"/>
          <w:b/>
          <w:i/>
          <w:sz w:val="22"/>
          <w:szCs w:val="22"/>
        </w:rPr>
        <w:t xml:space="preserve">INAUDITA ALTERA PARS </w:t>
      </w:r>
    </w:p>
    <w:p w:rsidR="005F0FAC" w:rsidRDefault="005F0FAC" w:rsidP="005F0FAC">
      <w:pPr>
        <w:spacing w:line="360" w:lineRule="auto"/>
        <w:jc w:val="both"/>
        <w:rPr>
          <w:rFonts w:ascii="Arial" w:hAnsi="Arial" w:cs="Arial"/>
        </w:rPr>
      </w:pPr>
    </w:p>
    <w:p w:rsidR="005F0FAC" w:rsidRDefault="005F0FAC" w:rsidP="005F0FAC">
      <w:pPr>
        <w:spacing w:line="360" w:lineRule="auto"/>
        <w:jc w:val="both"/>
        <w:rPr>
          <w:rFonts w:ascii="Arial" w:hAnsi="Arial" w:cs="Arial"/>
        </w:rPr>
      </w:pPr>
      <w:proofErr w:type="gramStart"/>
      <w:r w:rsidRPr="00907B05">
        <w:rPr>
          <w:rFonts w:ascii="Arial" w:hAnsi="Arial" w:cs="Arial"/>
        </w:rPr>
        <w:t>em</w:t>
      </w:r>
      <w:proofErr w:type="gramEnd"/>
      <w:r w:rsidRPr="00907B05">
        <w:rPr>
          <w:rFonts w:ascii="Arial" w:hAnsi="Arial" w:cs="Arial"/>
        </w:rPr>
        <w:t xml:space="preserve"> face do Sr. </w:t>
      </w:r>
      <w:r>
        <w:rPr>
          <w:rFonts w:ascii="Arial" w:hAnsi="Arial" w:cs="Arial"/>
        </w:rPr>
        <w:t xml:space="preserve">José </w:t>
      </w:r>
      <w:proofErr w:type="spellStart"/>
      <w:r>
        <w:rPr>
          <w:rFonts w:ascii="Arial" w:hAnsi="Arial" w:cs="Arial"/>
        </w:rPr>
        <w:t>Jailson</w:t>
      </w:r>
      <w:proofErr w:type="spellEnd"/>
      <w:r>
        <w:rPr>
          <w:rFonts w:ascii="Arial" w:hAnsi="Arial" w:cs="Arial"/>
        </w:rPr>
        <w:t xml:space="preserve"> Pio</w:t>
      </w:r>
      <w:r w:rsidRPr="00907B05">
        <w:rPr>
          <w:rFonts w:ascii="Arial" w:hAnsi="Arial" w:cs="Arial"/>
        </w:rPr>
        <w:t xml:space="preserve">, Prefeito Municipal de </w:t>
      </w:r>
      <w:r>
        <w:rPr>
          <w:rFonts w:ascii="Arial" w:hAnsi="Arial" w:cs="Arial"/>
        </w:rPr>
        <w:t>São Félix do Piauí</w:t>
      </w:r>
      <w:r w:rsidRPr="00907B05">
        <w:rPr>
          <w:rFonts w:ascii="Arial" w:hAnsi="Arial" w:cs="Arial"/>
        </w:rPr>
        <w:t>, pelos fatos e razões jurídicas adiante aduzidos:</w:t>
      </w:r>
    </w:p>
    <w:p w:rsidR="005F0FAC" w:rsidRDefault="005F0FAC" w:rsidP="005F0FAC">
      <w:pPr>
        <w:spacing w:line="360" w:lineRule="auto"/>
        <w:jc w:val="both"/>
        <w:rPr>
          <w:rFonts w:ascii="Arial" w:hAnsi="Arial" w:cs="Arial"/>
        </w:rPr>
      </w:pPr>
      <w:bookmarkStart w:id="0" w:name="_GoBack"/>
      <w:bookmarkEnd w:id="0"/>
    </w:p>
    <w:p w:rsidR="005F0FAC" w:rsidRDefault="005F0FAC" w:rsidP="005F0FAC">
      <w:pPr>
        <w:spacing w:line="360" w:lineRule="auto"/>
        <w:ind w:firstLine="1418"/>
        <w:jc w:val="both"/>
        <w:rPr>
          <w:rFonts w:ascii="Arial" w:hAnsi="Arial" w:cs="Arial"/>
        </w:rPr>
      </w:pPr>
    </w:p>
    <w:p w:rsidR="005F0FAC" w:rsidRDefault="005F0FAC" w:rsidP="005F0FAC">
      <w:pPr>
        <w:spacing w:line="360" w:lineRule="auto"/>
        <w:ind w:firstLine="1418"/>
        <w:jc w:val="both"/>
        <w:rPr>
          <w:rFonts w:ascii="Arial" w:hAnsi="Arial" w:cs="Arial"/>
        </w:rPr>
      </w:pPr>
    </w:p>
    <w:p w:rsidR="005F0FAC" w:rsidRPr="001A2D5A" w:rsidRDefault="005F0FAC" w:rsidP="005F0FAC">
      <w:pPr>
        <w:pStyle w:val="Recuodecorpodetexto"/>
        <w:pBdr>
          <w:top w:val="single" w:sz="4" w:space="1" w:color="auto"/>
          <w:left w:val="single" w:sz="4" w:space="4" w:color="auto"/>
          <w:bottom w:val="single" w:sz="4" w:space="1" w:color="auto"/>
          <w:right w:val="single" w:sz="4" w:space="4" w:color="auto"/>
        </w:pBdr>
        <w:shd w:val="clear" w:color="auto" w:fill="E0E0E0"/>
        <w:tabs>
          <w:tab w:val="left" w:pos="1418"/>
        </w:tabs>
        <w:ind w:left="0"/>
        <w:rPr>
          <w:rFonts w:ascii="Arial" w:hAnsi="Arial" w:cs="Arial"/>
          <w:b/>
          <w:bCs/>
          <w:i w:val="0"/>
          <w:sz w:val="20"/>
          <w:szCs w:val="20"/>
        </w:rPr>
      </w:pPr>
      <w:r w:rsidRPr="001A2D5A">
        <w:rPr>
          <w:rFonts w:ascii="Arial" w:hAnsi="Arial" w:cs="Arial"/>
          <w:b/>
          <w:bCs/>
          <w:i w:val="0"/>
          <w:sz w:val="20"/>
          <w:szCs w:val="20"/>
        </w:rPr>
        <w:lastRenderedPageBreak/>
        <w:t xml:space="preserve">1 </w:t>
      </w:r>
      <w:r>
        <w:rPr>
          <w:rFonts w:ascii="Arial" w:hAnsi="Arial" w:cs="Arial"/>
          <w:b/>
          <w:bCs/>
          <w:i w:val="0"/>
          <w:sz w:val="20"/>
          <w:szCs w:val="20"/>
        </w:rPr>
        <w:t>–</w:t>
      </w:r>
      <w:r w:rsidRPr="001A2D5A">
        <w:rPr>
          <w:rFonts w:ascii="Arial" w:hAnsi="Arial" w:cs="Arial"/>
          <w:b/>
          <w:bCs/>
          <w:i w:val="0"/>
          <w:sz w:val="20"/>
          <w:szCs w:val="20"/>
        </w:rPr>
        <w:t xml:space="preserve"> </w:t>
      </w:r>
      <w:r>
        <w:rPr>
          <w:rFonts w:ascii="Arial" w:hAnsi="Arial" w:cs="Arial"/>
          <w:b/>
          <w:bCs/>
          <w:i w:val="0"/>
          <w:sz w:val="20"/>
          <w:szCs w:val="20"/>
        </w:rPr>
        <w:t xml:space="preserve">DOS </w:t>
      </w:r>
      <w:r w:rsidRPr="001A2D5A">
        <w:rPr>
          <w:rFonts w:ascii="Arial" w:hAnsi="Arial" w:cs="Arial"/>
          <w:b/>
          <w:bCs/>
          <w:i w:val="0"/>
          <w:sz w:val="20"/>
        </w:rPr>
        <w:t>FATOS</w:t>
      </w:r>
    </w:p>
    <w:p w:rsidR="005F0FAC" w:rsidRDefault="005F0FAC" w:rsidP="005F0FAC">
      <w:pPr>
        <w:ind w:firstLine="1418"/>
        <w:jc w:val="both"/>
        <w:rPr>
          <w:rFonts w:ascii="Arial" w:hAnsi="Arial" w:cs="Arial"/>
        </w:rPr>
      </w:pPr>
    </w:p>
    <w:p w:rsidR="005F0FAC" w:rsidRDefault="005F0FAC" w:rsidP="005F0FAC">
      <w:pPr>
        <w:spacing w:line="360" w:lineRule="auto"/>
        <w:ind w:firstLine="1418"/>
        <w:jc w:val="both"/>
        <w:rPr>
          <w:rFonts w:ascii="Arial" w:hAnsi="Arial" w:cs="Arial"/>
        </w:rPr>
      </w:pPr>
      <w:r>
        <w:rPr>
          <w:rFonts w:ascii="Arial" w:hAnsi="Arial" w:cs="Arial"/>
        </w:rPr>
        <w:t xml:space="preserve">O Ministério Público de Contas (MPC) propusera, na data de 06 de outubro de 2016, Representação (TC/017339/16) em face das Prefeituras Municipais de Simplício Mendes, Teresina, Palmeirais, São Gonçalo do Piauí, Socorro do Piauí, Itaueira, Caridade do Piauí, Cristino Castro, São João do Piauí, Miguel Alves e José de Freitas, requerendo, dentre outras medidas, o </w:t>
      </w:r>
      <w:r w:rsidRPr="00AB7661">
        <w:rPr>
          <w:rFonts w:ascii="Arial" w:hAnsi="Arial" w:cs="Arial"/>
          <w:u w:val="single"/>
        </w:rPr>
        <w:t>Bloqueio das Contas Específicas do FUNDEF</w:t>
      </w:r>
      <w:r>
        <w:rPr>
          <w:rFonts w:ascii="Arial" w:hAnsi="Arial" w:cs="Arial"/>
        </w:rPr>
        <w:t xml:space="preserve"> dos mencionados entes, considerando que estes constavam no Ofício nº 2.062/16 da Procuradoria da União no Estado do Piauí como beneficiários de precatórios a serem pagos no exercício de 2016 oriundas de ações judiciais que discutiram acerca das complementações do FUNDEF, bem como a </w:t>
      </w:r>
      <w:r>
        <w:rPr>
          <w:rFonts w:ascii="Arial" w:hAnsi="Arial" w:cs="Arial"/>
          <w:u w:val="single"/>
        </w:rPr>
        <w:t>Regulamentação</w:t>
      </w:r>
      <w:r>
        <w:rPr>
          <w:rFonts w:ascii="Arial" w:hAnsi="Arial" w:cs="Arial"/>
        </w:rPr>
        <w:t xml:space="preserve"> da aplicação das diferenças devidas e não transferidas pela União obtidas mediante ações propostas na Justiça Comum.</w:t>
      </w:r>
    </w:p>
    <w:p w:rsidR="005F0FAC" w:rsidRDefault="005F0FAC" w:rsidP="005F0FAC">
      <w:pPr>
        <w:ind w:firstLine="1418"/>
        <w:jc w:val="both"/>
        <w:rPr>
          <w:rFonts w:ascii="Arial" w:hAnsi="Arial" w:cs="Arial"/>
        </w:rPr>
      </w:pPr>
    </w:p>
    <w:p w:rsidR="005F0FAC" w:rsidRDefault="005F0FAC" w:rsidP="005F0FAC">
      <w:pPr>
        <w:spacing w:line="360" w:lineRule="auto"/>
        <w:ind w:firstLine="1418"/>
        <w:jc w:val="both"/>
        <w:rPr>
          <w:rFonts w:ascii="Arial" w:hAnsi="Arial" w:cs="Arial"/>
        </w:rPr>
      </w:pPr>
      <w:r>
        <w:rPr>
          <w:rFonts w:ascii="Arial" w:hAnsi="Arial" w:cs="Arial"/>
        </w:rPr>
        <w:t>O bloqueio das contas ocorrera com base na Decisão Plenária nº 1.288/16, de 06 de outubro de 2016.</w:t>
      </w:r>
    </w:p>
    <w:p w:rsidR="005F0FAC" w:rsidRDefault="005F0FAC" w:rsidP="005F0FAC">
      <w:pPr>
        <w:ind w:firstLine="1418"/>
        <w:jc w:val="both"/>
        <w:rPr>
          <w:rFonts w:ascii="Arial" w:hAnsi="Arial" w:cs="Arial"/>
        </w:rPr>
      </w:pPr>
    </w:p>
    <w:p w:rsidR="005F0FAC" w:rsidRPr="00AB7661" w:rsidRDefault="005F0FAC" w:rsidP="005F0FAC">
      <w:pPr>
        <w:spacing w:line="360" w:lineRule="auto"/>
        <w:ind w:firstLine="1418"/>
        <w:jc w:val="both"/>
        <w:rPr>
          <w:rFonts w:ascii="Arial" w:hAnsi="Arial" w:cs="Arial"/>
        </w:rPr>
      </w:pPr>
      <w:r>
        <w:rPr>
          <w:rFonts w:ascii="Arial" w:hAnsi="Arial" w:cs="Arial"/>
        </w:rPr>
        <w:t>Posteriormente, o Plenário do TCE-PI proferiu a Decisão Normativa 27, regulamentando a matéria, dispondo que:</w:t>
      </w:r>
    </w:p>
    <w:p w:rsidR="005F0FAC" w:rsidRPr="004646EC" w:rsidRDefault="005F0FAC" w:rsidP="005F0FAC">
      <w:pPr>
        <w:spacing w:line="360" w:lineRule="auto"/>
        <w:ind w:firstLine="1418"/>
        <w:jc w:val="both"/>
        <w:rPr>
          <w:rFonts w:ascii="Arial" w:hAnsi="Arial" w:cs="Arial"/>
          <w:sz w:val="14"/>
        </w:rPr>
      </w:pPr>
    </w:p>
    <w:p w:rsidR="005F0FAC" w:rsidRPr="006F3313" w:rsidRDefault="005F0FAC" w:rsidP="005F0FAC">
      <w:pPr>
        <w:pStyle w:val="NormalWeb"/>
        <w:shd w:val="clear" w:color="auto" w:fill="FFFFFF"/>
        <w:spacing w:before="0" w:beforeAutospacing="0" w:after="0" w:afterAutospacing="0" w:line="360" w:lineRule="auto"/>
        <w:ind w:left="2268"/>
        <w:jc w:val="both"/>
        <w:rPr>
          <w:rFonts w:ascii="Arial" w:hAnsi="Arial" w:cs="Arial"/>
          <w:sz w:val="18"/>
          <w:szCs w:val="18"/>
        </w:rPr>
      </w:pPr>
      <w:proofErr w:type="gramStart"/>
      <w:r w:rsidRPr="006F3313">
        <w:rPr>
          <w:rFonts w:ascii="Arial" w:hAnsi="Arial" w:cs="Arial"/>
          <w:b/>
          <w:bCs/>
          <w:sz w:val="18"/>
          <w:szCs w:val="18"/>
        </w:rPr>
        <w:t>1º)</w:t>
      </w:r>
      <w:proofErr w:type="gramEnd"/>
      <w:r w:rsidRPr="006F3313">
        <w:rPr>
          <w:rFonts w:ascii="Arial" w:hAnsi="Arial" w:cs="Arial"/>
          <w:b/>
          <w:bCs/>
          <w:sz w:val="18"/>
          <w:szCs w:val="18"/>
        </w:rPr>
        <w:t> </w:t>
      </w:r>
      <w:r w:rsidRPr="006F3313">
        <w:rPr>
          <w:rFonts w:ascii="Arial" w:hAnsi="Arial" w:cs="Arial"/>
          <w:sz w:val="18"/>
          <w:szCs w:val="18"/>
        </w:rPr>
        <w:t>Nos casos dos municípios que possuem Regime Próprio de Previdência Social, a prioridade de utilização dos recursos ora regulamentados será com pagamento de débitos previdenciários; em segunda ordem de prioridade, o gestor deverá pagar os débitos trabalhistas dos servidores da educação oriundos de decisões judiciais;</w:t>
      </w:r>
    </w:p>
    <w:p w:rsidR="005F0FAC" w:rsidRPr="006F3313" w:rsidRDefault="005F0FAC" w:rsidP="005F0FAC">
      <w:pPr>
        <w:pStyle w:val="NormalWeb"/>
        <w:shd w:val="clear" w:color="auto" w:fill="FFFFFF"/>
        <w:spacing w:before="0" w:beforeAutospacing="0" w:after="0" w:afterAutospacing="0" w:line="360" w:lineRule="auto"/>
        <w:ind w:left="2268"/>
        <w:jc w:val="both"/>
        <w:rPr>
          <w:rFonts w:ascii="Arial" w:hAnsi="Arial" w:cs="Arial"/>
          <w:sz w:val="18"/>
          <w:szCs w:val="18"/>
        </w:rPr>
      </w:pPr>
      <w:proofErr w:type="gramStart"/>
      <w:r w:rsidRPr="006F3313">
        <w:rPr>
          <w:rFonts w:ascii="Arial" w:hAnsi="Arial" w:cs="Arial"/>
          <w:b/>
          <w:bCs/>
          <w:sz w:val="18"/>
          <w:szCs w:val="18"/>
        </w:rPr>
        <w:t>2º)</w:t>
      </w:r>
      <w:proofErr w:type="gramEnd"/>
      <w:r w:rsidRPr="006F3313">
        <w:rPr>
          <w:rFonts w:ascii="Arial" w:hAnsi="Arial" w:cs="Arial"/>
          <w:b/>
          <w:bCs/>
          <w:sz w:val="18"/>
          <w:szCs w:val="18"/>
        </w:rPr>
        <w:t> </w:t>
      </w:r>
      <w:r w:rsidRPr="006F3313">
        <w:rPr>
          <w:rFonts w:ascii="Arial" w:hAnsi="Arial" w:cs="Arial"/>
          <w:sz w:val="18"/>
          <w:szCs w:val="18"/>
        </w:rPr>
        <w:t>Os gestores deverão adequar as leis orçamentárias municipais (LDO, LOA e PPA), para a devida aplicação dos recursos oriundos de precatórios judiciais do FUNDEF;</w:t>
      </w:r>
    </w:p>
    <w:p w:rsidR="005F0FAC" w:rsidRPr="006F3313" w:rsidRDefault="005F0FAC" w:rsidP="005F0FAC">
      <w:pPr>
        <w:pStyle w:val="NormalWeb"/>
        <w:shd w:val="clear" w:color="auto" w:fill="FFFFFF"/>
        <w:spacing w:before="0" w:beforeAutospacing="0" w:after="0" w:afterAutospacing="0" w:line="360" w:lineRule="auto"/>
        <w:ind w:left="2268"/>
        <w:jc w:val="both"/>
        <w:rPr>
          <w:rFonts w:ascii="Arial" w:hAnsi="Arial" w:cs="Arial"/>
          <w:sz w:val="18"/>
          <w:szCs w:val="18"/>
        </w:rPr>
      </w:pPr>
      <w:proofErr w:type="gramStart"/>
      <w:r w:rsidRPr="006F3313">
        <w:rPr>
          <w:rFonts w:ascii="Arial" w:hAnsi="Arial" w:cs="Arial"/>
          <w:b/>
          <w:bCs/>
          <w:sz w:val="18"/>
          <w:szCs w:val="18"/>
        </w:rPr>
        <w:t>3º)</w:t>
      </w:r>
      <w:proofErr w:type="gramEnd"/>
      <w:r w:rsidRPr="006F3313">
        <w:rPr>
          <w:rFonts w:ascii="Arial" w:hAnsi="Arial" w:cs="Arial"/>
          <w:b/>
          <w:bCs/>
          <w:sz w:val="18"/>
          <w:szCs w:val="18"/>
        </w:rPr>
        <w:t> </w:t>
      </w:r>
      <w:r w:rsidRPr="006F3313">
        <w:rPr>
          <w:rFonts w:ascii="Arial" w:hAnsi="Arial" w:cs="Arial"/>
          <w:sz w:val="18"/>
          <w:szCs w:val="18"/>
        </w:rPr>
        <w:t>O gestor não será obrigado a utilizar o valor integral do precatório no exercício de 2017, podendo planejar a aplicação em mais de um exercício, desde que previstas nas leis orçamentárias municipais (LDO, LOA e PPA);</w:t>
      </w:r>
    </w:p>
    <w:p w:rsidR="005F0FAC" w:rsidRPr="006F3313" w:rsidRDefault="005F0FAC" w:rsidP="005F0FAC">
      <w:pPr>
        <w:pStyle w:val="NormalWeb"/>
        <w:shd w:val="clear" w:color="auto" w:fill="FFFFFF"/>
        <w:spacing w:before="0" w:beforeAutospacing="0" w:after="0" w:afterAutospacing="0" w:line="360" w:lineRule="auto"/>
        <w:ind w:left="2268"/>
        <w:jc w:val="both"/>
        <w:rPr>
          <w:rFonts w:ascii="Arial" w:hAnsi="Arial" w:cs="Arial"/>
          <w:sz w:val="18"/>
          <w:szCs w:val="18"/>
        </w:rPr>
      </w:pPr>
      <w:proofErr w:type="gramStart"/>
      <w:r w:rsidRPr="006F3313">
        <w:rPr>
          <w:rFonts w:ascii="Arial" w:hAnsi="Arial" w:cs="Arial"/>
          <w:b/>
          <w:bCs/>
          <w:sz w:val="18"/>
          <w:szCs w:val="18"/>
        </w:rPr>
        <w:t>4º)</w:t>
      </w:r>
      <w:proofErr w:type="gramEnd"/>
      <w:r w:rsidRPr="006F3313">
        <w:rPr>
          <w:rFonts w:ascii="Arial" w:hAnsi="Arial" w:cs="Arial"/>
          <w:b/>
          <w:bCs/>
          <w:sz w:val="18"/>
          <w:szCs w:val="18"/>
        </w:rPr>
        <w:t> </w:t>
      </w:r>
      <w:r w:rsidRPr="006F3313">
        <w:rPr>
          <w:rFonts w:ascii="Arial" w:hAnsi="Arial" w:cs="Arial"/>
          <w:sz w:val="18"/>
          <w:szCs w:val="18"/>
        </w:rPr>
        <w:t xml:space="preserve">Na aplicação dos quarenta por cento do valor dos recursos oriundos de precatórios judiciais do FUNDEF, os gestores deverão observar as destinações e vedações previstas nos </w:t>
      </w:r>
      <w:proofErr w:type="spellStart"/>
      <w:r w:rsidRPr="006F3313">
        <w:rPr>
          <w:rFonts w:ascii="Arial" w:hAnsi="Arial" w:cs="Arial"/>
          <w:sz w:val="18"/>
          <w:szCs w:val="18"/>
        </w:rPr>
        <w:t>arts</w:t>
      </w:r>
      <w:proofErr w:type="spellEnd"/>
      <w:r w:rsidRPr="006F3313">
        <w:rPr>
          <w:rFonts w:ascii="Arial" w:hAnsi="Arial" w:cs="Arial"/>
          <w:sz w:val="18"/>
          <w:szCs w:val="18"/>
        </w:rPr>
        <w:t>. 70 e 71, respectivamente, da Lei das diretrizes e bases da educação nacional, Lei nº 9.394/96;</w:t>
      </w:r>
    </w:p>
    <w:p w:rsidR="005F0FAC" w:rsidRPr="006F3313" w:rsidRDefault="005F0FAC" w:rsidP="005F0FAC">
      <w:pPr>
        <w:pStyle w:val="NormalWeb"/>
        <w:shd w:val="clear" w:color="auto" w:fill="FFFFFF"/>
        <w:spacing w:before="0" w:beforeAutospacing="0" w:after="0" w:afterAutospacing="0" w:line="360" w:lineRule="auto"/>
        <w:ind w:left="2268"/>
        <w:jc w:val="both"/>
        <w:rPr>
          <w:rFonts w:ascii="Arial" w:hAnsi="Arial" w:cs="Arial"/>
          <w:sz w:val="18"/>
          <w:szCs w:val="18"/>
        </w:rPr>
      </w:pPr>
      <w:proofErr w:type="gramStart"/>
      <w:r w:rsidRPr="006F3313">
        <w:rPr>
          <w:rFonts w:ascii="Arial" w:hAnsi="Arial" w:cs="Arial"/>
          <w:b/>
          <w:bCs/>
          <w:sz w:val="18"/>
          <w:szCs w:val="18"/>
        </w:rPr>
        <w:t>5º)</w:t>
      </w:r>
      <w:proofErr w:type="gramEnd"/>
      <w:r w:rsidRPr="006F3313">
        <w:rPr>
          <w:rFonts w:ascii="Arial" w:hAnsi="Arial" w:cs="Arial"/>
          <w:b/>
          <w:bCs/>
          <w:sz w:val="18"/>
          <w:szCs w:val="18"/>
        </w:rPr>
        <w:t> </w:t>
      </w:r>
      <w:r w:rsidRPr="006F3313">
        <w:rPr>
          <w:rFonts w:ascii="Arial" w:hAnsi="Arial" w:cs="Arial"/>
          <w:sz w:val="18"/>
          <w:szCs w:val="18"/>
        </w:rPr>
        <w:t>Na aplicação dos sessenta por cento do valor dos recursos oriundos de precatórios judiciais do FUNDEF, deverá ser feita, alternativamente: 5.1) Em forma de abono, o qual deverá ser regulamentado por lei municipal que preveja as regras de concessão, garantindo-se a transparência e isonomia; 5.2) Por aumento da remuneração, que também será regido por lei municipal garantindo-se a transparência e isonomia;</w:t>
      </w:r>
    </w:p>
    <w:p w:rsidR="005F0FAC" w:rsidRPr="006F3313" w:rsidRDefault="005F0FAC" w:rsidP="005F0FAC">
      <w:pPr>
        <w:pStyle w:val="NormalWeb"/>
        <w:shd w:val="clear" w:color="auto" w:fill="FFFFFF"/>
        <w:spacing w:before="0" w:beforeAutospacing="0" w:after="0" w:afterAutospacing="0" w:line="360" w:lineRule="auto"/>
        <w:ind w:left="2268"/>
        <w:jc w:val="both"/>
        <w:rPr>
          <w:rFonts w:ascii="Arial" w:hAnsi="Arial" w:cs="Arial"/>
          <w:sz w:val="18"/>
          <w:szCs w:val="18"/>
        </w:rPr>
      </w:pPr>
      <w:proofErr w:type="gramStart"/>
      <w:r w:rsidRPr="006F3313">
        <w:rPr>
          <w:rFonts w:ascii="Arial" w:hAnsi="Arial" w:cs="Arial"/>
          <w:b/>
          <w:bCs/>
          <w:sz w:val="18"/>
          <w:szCs w:val="18"/>
        </w:rPr>
        <w:lastRenderedPageBreak/>
        <w:t>6º)</w:t>
      </w:r>
      <w:proofErr w:type="gramEnd"/>
      <w:r w:rsidRPr="006F3313">
        <w:rPr>
          <w:rFonts w:ascii="Arial" w:hAnsi="Arial" w:cs="Arial"/>
          <w:b/>
          <w:bCs/>
          <w:sz w:val="18"/>
          <w:szCs w:val="18"/>
        </w:rPr>
        <w:t> </w:t>
      </w:r>
      <w:r w:rsidRPr="006F3313">
        <w:rPr>
          <w:rFonts w:ascii="Arial" w:hAnsi="Arial" w:cs="Arial"/>
          <w:sz w:val="18"/>
          <w:szCs w:val="18"/>
        </w:rPr>
        <w:t>Caso haja descumprimento destas determinações será determinado o imediato bloqueio das contas municipais, em razão do descumprimento de orientação deste Tribunal, nos termos do art. 86, inciso V da Lei Orgânica deste TCE/PI.</w:t>
      </w:r>
    </w:p>
    <w:p w:rsidR="005F0FAC" w:rsidRDefault="005F0FAC" w:rsidP="005F0FAC">
      <w:pPr>
        <w:spacing w:line="360" w:lineRule="auto"/>
        <w:ind w:firstLine="1418"/>
        <w:jc w:val="both"/>
        <w:rPr>
          <w:rFonts w:ascii="Arial" w:hAnsi="Arial" w:cs="Arial"/>
        </w:rPr>
      </w:pPr>
    </w:p>
    <w:p w:rsidR="005F0FAC" w:rsidRDefault="005F0FAC" w:rsidP="005F0FAC">
      <w:pPr>
        <w:spacing w:line="360" w:lineRule="auto"/>
        <w:ind w:firstLine="1418"/>
        <w:jc w:val="both"/>
        <w:rPr>
          <w:rFonts w:ascii="Arial" w:hAnsi="Arial" w:cs="Arial"/>
        </w:rPr>
      </w:pPr>
      <w:r>
        <w:rPr>
          <w:rFonts w:ascii="Arial" w:hAnsi="Arial" w:cs="Arial"/>
        </w:rPr>
        <w:t>Igualmente, proferira-se o Acórdão nº 2.711-A/17, nos autos do TC/017399/16, no seguinte sentido:</w:t>
      </w:r>
    </w:p>
    <w:p w:rsidR="005F0FAC" w:rsidRDefault="005F0FAC" w:rsidP="005F0FAC">
      <w:pPr>
        <w:ind w:left="2268"/>
        <w:jc w:val="both"/>
        <w:rPr>
          <w:rFonts w:ascii="Arial" w:hAnsi="Arial" w:cs="Arial"/>
          <w:sz w:val="18"/>
          <w:szCs w:val="18"/>
        </w:rPr>
      </w:pPr>
    </w:p>
    <w:p w:rsidR="005F0FAC" w:rsidRDefault="005F0FAC" w:rsidP="005F0FAC">
      <w:pPr>
        <w:spacing w:line="360" w:lineRule="auto"/>
        <w:ind w:left="2268"/>
        <w:jc w:val="both"/>
        <w:rPr>
          <w:rFonts w:ascii="Arial" w:hAnsi="Arial" w:cs="Arial"/>
          <w:sz w:val="18"/>
          <w:szCs w:val="18"/>
        </w:rPr>
      </w:pPr>
      <w:r w:rsidRPr="00E40069">
        <w:rPr>
          <w:rFonts w:ascii="Arial" w:hAnsi="Arial" w:cs="Arial"/>
          <w:sz w:val="18"/>
          <w:szCs w:val="18"/>
        </w:rPr>
        <w:t xml:space="preserve">1. Determinar aos Prefeitos Municipais cujos municípios tenham sido contemplados com o recebimento de recursos financeiros oriundos dos precatórios do antigo FUNDEF: </w:t>
      </w:r>
    </w:p>
    <w:p w:rsidR="005F0FAC" w:rsidRDefault="005F0FAC" w:rsidP="005F0FAC">
      <w:pPr>
        <w:spacing w:line="360" w:lineRule="auto"/>
        <w:ind w:left="2268"/>
        <w:jc w:val="both"/>
        <w:rPr>
          <w:rFonts w:ascii="Arial" w:hAnsi="Arial" w:cs="Arial"/>
          <w:sz w:val="18"/>
          <w:szCs w:val="18"/>
        </w:rPr>
      </w:pPr>
      <w:r w:rsidRPr="00E40069">
        <w:rPr>
          <w:rFonts w:ascii="Arial" w:hAnsi="Arial" w:cs="Arial"/>
          <w:sz w:val="18"/>
          <w:szCs w:val="18"/>
        </w:rPr>
        <w:t xml:space="preserve">a) a abertura de </w:t>
      </w:r>
      <w:proofErr w:type="gramStart"/>
      <w:r w:rsidRPr="00E40069">
        <w:rPr>
          <w:rFonts w:ascii="Arial" w:hAnsi="Arial" w:cs="Arial"/>
          <w:sz w:val="18"/>
          <w:szCs w:val="18"/>
        </w:rPr>
        <w:t>2</w:t>
      </w:r>
      <w:proofErr w:type="gramEnd"/>
      <w:r w:rsidRPr="00E40069">
        <w:rPr>
          <w:rFonts w:ascii="Arial" w:hAnsi="Arial" w:cs="Arial"/>
          <w:sz w:val="18"/>
          <w:szCs w:val="18"/>
        </w:rPr>
        <w:t xml:space="preserve"> (duas) contas vinculadas à Manutenção e Desenvolvimento do Ensino com o depósito dos recursos do antigo FUNDEF conforme especificado: a.1) Uma Conta Aplicação que receberá os rendimentos da aplicação e permanecerá bloqueada, para a qual serão transferidos 60% (sessenta por cento) dos recursos recebidos a título de Precatórios do FUNDEF, com a finalidade de garantir o pagamento de créditos trabalhistas aos profissionais do magistério, no caso de eventual decisão judicial que reconheça o direito dessa categoria à percepção de diferenças remuneratórias de exercícios financeiros anteriores; a.2) Uma Conta Corrente/Aplicação para a qual serão transferidos os 40% (quarenta por cento) restantes dos recursos do FUNDEF, que também permanecerão bloqueados, até a apreciação por este Tribunal de Contas do cumprimento dos termos da alínea “b”; </w:t>
      </w:r>
    </w:p>
    <w:p w:rsidR="005F0FAC" w:rsidRDefault="005F0FAC" w:rsidP="005F0FAC">
      <w:pPr>
        <w:spacing w:line="360" w:lineRule="auto"/>
        <w:ind w:left="2268"/>
        <w:jc w:val="both"/>
        <w:rPr>
          <w:rFonts w:ascii="Arial" w:hAnsi="Arial" w:cs="Arial"/>
          <w:sz w:val="18"/>
          <w:szCs w:val="18"/>
        </w:rPr>
      </w:pPr>
      <w:r w:rsidRPr="00E40069">
        <w:rPr>
          <w:rFonts w:ascii="Arial" w:hAnsi="Arial" w:cs="Arial"/>
          <w:sz w:val="18"/>
          <w:szCs w:val="18"/>
        </w:rPr>
        <w:t xml:space="preserve">b) A apresentação de um </w:t>
      </w:r>
      <w:r w:rsidRPr="00E40069">
        <w:rPr>
          <w:rFonts w:ascii="Arial" w:hAnsi="Arial" w:cs="Arial"/>
          <w:b/>
          <w:sz w:val="18"/>
          <w:szCs w:val="18"/>
          <w:u w:val="single"/>
        </w:rPr>
        <w:t>Plano de Aplicação de Recursos</w:t>
      </w:r>
      <w:r w:rsidRPr="00E40069">
        <w:rPr>
          <w:rFonts w:ascii="Arial" w:hAnsi="Arial" w:cs="Arial"/>
          <w:sz w:val="18"/>
          <w:szCs w:val="18"/>
        </w:rPr>
        <w:t xml:space="preserve">, em estrita observância a Decisão Normativa TCE nº. 27, para aplicação de 40% (quarenta por cento) dos valores recebidos pelo município a título de Precatórios Judiciais decorrentes de diferenças de repasses realizados ao antigo FUNDEF, podendo tais recursos, facultativamente, ser destinados ao pagamento de profissionais da educação; </w:t>
      </w:r>
    </w:p>
    <w:p w:rsidR="005F0FAC" w:rsidRDefault="005F0FAC" w:rsidP="005F0FAC">
      <w:pPr>
        <w:spacing w:line="360" w:lineRule="auto"/>
        <w:ind w:left="2268"/>
        <w:jc w:val="both"/>
        <w:rPr>
          <w:rFonts w:ascii="Arial" w:hAnsi="Arial" w:cs="Arial"/>
          <w:sz w:val="18"/>
          <w:szCs w:val="18"/>
        </w:rPr>
      </w:pPr>
      <w:r w:rsidRPr="00E40069">
        <w:rPr>
          <w:rFonts w:ascii="Arial" w:hAnsi="Arial" w:cs="Arial"/>
          <w:sz w:val="18"/>
          <w:szCs w:val="18"/>
        </w:rPr>
        <w:t xml:space="preserve">c) A efetiva comprovação de autorização legislativa para a aplicação dos recursos citados na alínea “b”, mediante apresentação da Lei Orçamentária Municipal ou de Lei de Créditos Adicionais Suplementares ou Especiais; </w:t>
      </w:r>
    </w:p>
    <w:p w:rsidR="005F0FAC" w:rsidRPr="00E40069" w:rsidRDefault="005F0FAC" w:rsidP="005F0FAC">
      <w:pPr>
        <w:spacing w:line="360" w:lineRule="auto"/>
        <w:ind w:left="2268"/>
        <w:jc w:val="both"/>
        <w:rPr>
          <w:rFonts w:ascii="Arial" w:hAnsi="Arial" w:cs="Arial"/>
          <w:sz w:val="18"/>
          <w:szCs w:val="18"/>
        </w:rPr>
      </w:pPr>
      <w:r w:rsidRPr="00E40069">
        <w:rPr>
          <w:rFonts w:ascii="Arial" w:hAnsi="Arial" w:cs="Arial"/>
          <w:sz w:val="18"/>
          <w:szCs w:val="18"/>
        </w:rPr>
        <w:t>d) Que se abstenham de pagar honorários advocatícios com recursos oriundos dos Precatórios do FUNDEF, sem prejuízo da verificação da legalidade das contratações dos serviços técnicos especializados.</w:t>
      </w:r>
    </w:p>
    <w:p w:rsidR="005F0FAC" w:rsidRDefault="005F0FAC" w:rsidP="005F0FAC">
      <w:pPr>
        <w:ind w:firstLine="1418"/>
        <w:jc w:val="both"/>
        <w:rPr>
          <w:rFonts w:ascii="Arial" w:hAnsi="Arial" w:cs="Arial"/>
        </w:rPr>
      </w:pPr>
    </w:p>
    <w:p w:rsidR="005F0FAC" w:rsidRDefault="005F0FAC" w:rsidP="005F0FAC">
      <w:pPr>
        <w:spacing w:line="360" w:lineRule="auto"/>
        <w:ind w:firstLine="1418"/>
        <w:jc w:val="both"/>
        <w:rPr>
          <w:rFonts w:ascii="Arial" w:hAnsi="Arial" w:cs="Arial"/>
        </w:rPr>
      </w:pPr>
      <w:r>
        <w:rPr>
          <w:rFonts w:ascii="Arial" w:hAnsi="Arial" w:cs="Arial"/>
        </w:rPr>
        <w:t xml:space="preserve">Com base em referido entendimento, o MPC propusera nova Representação (TC/014695/17), na data de 22 de junho de 2017, em face das Prefeituras Municipais de São Felix do Piauí, Capitão </w:t>
      </w:r>
      <w:proofErr w:type="spellStart"/>
      <w:r>
        <w:rPr>
          <w:rFonts w:ascii="Arial" w:hAnsi="Arial" w:cs="Arial"/>
        </w:rPr>
        <w:t>Gervásio</w:t>
      </w:r>
      <w:proofErr w:type="spellEnd"/>
      <w:r>
        <w:rPr>
          <w:rFonts w:ascii="Arial" w:hAnsi="Arial" w:cs="Arial"/>
        </w:rPr>
        <w:t xml:space="preserve"> Oliveira, Cajazeiras do Piauí, Floresta do Piauí, Pimenteiras, Uruçuí, Miguel Alves, Dirceu Arcoverde, São João da Fronteira, Canto do Buriti, Várzea Grande, Elizeu Martins, Lagoa do Piauí e Simplício Mendes, os quais teriam recebido Precatórios pagos cuja origem </w:t>
      </w:r>
      <w:proofErr w:type="gramStart"/>
      <w:r>
        <w:rPr>
          <w:rFonts w:ascii="Arial" w:hAnsi="Arial" w:cs="Arial"/>
        </w:rPr>
        <w:t>seriam</w:t>
      </w:r>
      <w:proofErr w:type="gramEnd"/>
      <w:r>
        <w:rPr>
          <w:rFonts w:ascii="Arial" w:hAnsi="Arial" w:cs="Arial"/>
        </w:rPr>
        <w:t xml:space="preserve"> as ações propostas atinentes à complementação do FUNDEF, requerendo o </w:t>
      </w:r>
      <w:r w:rsidRPr="00060196">
        <w:rPr>
          <w:rFonts w:ascii="Arial" w:hAnsi="Arial" w:cs="Arial"/>
          <w:u w:val="single"/>
        </w:rPr>
        <w:t>Bloqueio das Contas do FUNDEF até que fossem encaminhados os documentos referidos na Decisão Normativa nº 27.</w:t>
      </w:r>
    </w:p>
    <w:p w:rsidR="005F0FAC" w:rsidRDefault="005F0FAC" w:rsidP="005F0FAC">
      <w:pPr>
        <w:spacing w:line="360" w:lineRule="auto"/>
        <w:ind w:firstLine="1418"/>
        <w:jc w:val="both"/>
        <w:rPr>
          <w:rFonts w:ascii="Arial" w:hAnsi="Arial" w:cs="Arial"/>
        </w:rPr>
      </w:pPr>
      <w:r>
        <w:rPr>
          <w:rFonts w:ascii="Arial" w:hAnsi="Arial" w:cs="Arial"/>
        </w:rPr>
        <w:lastRenderedPageBreak/>
        <w:t>Acatara-se o pleito ministerial através da Decisão Plenária nº 925/17, de 22/06/2017.</w:t>
      </w:r>
    </w:p>
    <w:p w:rsidR="005F0FAC" w:rsidRDefault="005F0FAC" w:rsidP="005F0FAC">
      <w:pPr>
        <w:spacing w:line="360" w:lineRule="auto"/>
        <w:ind w:firstLine="1418"/>
        <w:jc w:val="both"/>
        <w:rPr>
          <w:rFonts w:ascii="Arial" w:hAnsi="Arial" w:cs="Arial"/>
        </w:rPr>
      </w:pPr>
    </w:p>
    <w:p w:rsidR="005F0FAC" w:rsidRDefault="005F0FAC" w:rsidP="005F0FAC">
      <w:pPr>
        <w:spacing w:line="360" w:lineRule="auto"/>
        <w:ind w:firstLine="1418"/>
        <w:jc w:val="both"/>
        <w:rPr>
          <w:rFonts w:ascii="Arial" w:hAnsi="Arial" w:cs="Arial"/>
          <w:u w:val="single"/>
        </w:rPr>
      </w:pPr>
      <w:r>
        <w:rPr>
          <w:rFonts w:ascii="Arial" w:hAnsi="Arial" w:cs="Arial"/>
        </w:rPr>
        <w:t xml:space="preserve">Ressalta-se que tramita nesta Corte de Contas o Processo TC/023691/2017, autuado como Embargos de Declaração, o qual rediscute a vinculação dos recursos dos precatórios do FUNDEF à educação, bem como a </w:t>
      </w:r>
      <w:proofErr w:type="spellStart"/>
      <w:r>
        <w:rPr>
          <w:rFonts w:ascii="Arial" w:hAnsi="Arial" w:cs="Arial"/>
        </w:rPr>
        <w:t>subvinculação</w:t>
      </w:r>
      <w:proofErr w:type="spellEnd"/>
      <w:r>
        <w:rPr>
          <w:rFonts w:ascii="Arial" w:hAnsi="Arial" w:cs="Arial"/>
        </w:rPr>
        <w:t xml:space="preserve"> de 60% destes ao pagamento dos profissionais do magistério, </w:t>
      </w:r>
      <w:r>
        <w:rPr>
          <w:rFonts w:ascii="Arial" w:hAnsi="Arial" w:cs="Arial"/>
          <w:u w:val="single"/>
        </w:rPr>
        <w:t xml:space="preserve">encontrando-se </w:t>
      </w:r>
      <w:r w:rsidRPr="00F66C79">
        <w:rPr>
          <w:rFonts w:ascii="Arial" w:hAnsi="Arial" w:cs="Arial"/>
          <w:u w:val="single"/>
        </w:rPr>
        <w:t>sobrestado para aguardar ulterior posicionamento do Tribunal de Contas da União</w:t>
      </w:r>
      <w:r>
        <w:rPr>
          <w:rFonts w:ascii="Arial" w:hAnsi="Arial" w:cs="Arial"/>
          <w:u w:val="single"/>
        </w:rPr>
        <w:t xml:space="preserve"> </w:t>
      </w:r>
      <w:r w:rsidRPr="00F66C79">
        <w:rPr>
          <w:rFonts w:ascii="Arial" w:hAnsi="Arial" w:cs="Arial"/>
          <w:u w:val="single"/>
        </w:rPr>
        <w:t>-</w:t>
      </w:r>
      <w:r>
        <w:rPr>
          <w:rFonts w:ascii="Arial" w:hAnsi="Arial" w:cs="Arial"/>
          <w:u w:val="single"/>
        </w:rPr>
        <w:t xml:space="preserve"> </w:t>
      </w:r>
      <w:r w:rsidRPr="00F66C79">
        <w:rPr>
          <w:rFonts w:ascii="Arial" w:hAnsi="Arial" w:cs="Arial"/>
          <w:u w:val="single"/>
        </w:rPr>
        <w:t>TCU</w:t>
      </w:r>
      <w:r>
        <w:rPr>
          <w:rFonts w:ascii="Arial" w:hAnsi="Arial" w:cs="Arial"/>
          <w:u w:val="single"/>
        </w:rPr>
        <w:t>.</w:t>
      </w:r>
    </w:p>
    <w:p w:rsidR="00DB67F6" w:rsidRDefault="00DB67F6" w:rsidP="005F0FAC">
      <w:pPr>
        <w:spacing w:line="360" w:lineRule="auto"/>
        <w:ind w:firstLine="1418"/>
        <w:jc w:val="both"/>
        <w:rPr>
          <w:rFonts w:ascii="Arial" w:hAnsi="Arial" w:cs="Arial"/>
        </w:rPr>
      </w:pPr>
    </w:p>
    <w:p w:rsidR="005F0FAC" w:rsidRDefault="005F0FAC" w:rsidP="005F0FAC">
      <w:pPr>
        <w:spacing w:line="360" w:lineRule="auto"/>
        <w:ind w:firstLine="1418"/>
        <w:jc w:val="both"/>
        <w:rPr>
          <w:rFonts w:ascii="Arial" w:hAnsi="Arial" w:cs="Arial"/>
        </w:rPr>
      </w:pPr>
      <w:r>
        <w:rPr>
          <w:rFonts w:ascii="Arial" w:hAnsi="Arial" w:cs="Arial"/>
        </w:rPr>
        <w:t xml:space="preserve">Tal sobrestamento ocorrera tendo em vista que nos autos dos Processos TC 005.506/2017-4 e TC 020.079/2018-4 o TCU proferira entendimento diverso quanto à </w:t>
      </w:r>
      <w:proofErr w:type="spellStart"/>
      <w:r>
        <w:rPr>
          <w:rFonts w:ascii="Arial" w:hAnsi="Arial" w:cs="Arial"/>
        </w:rPr>
        <w:t>subvinculação</w:t>
      </w:r>
      <w:proofErr w:type="spellEnd"/>
      <w:r>
        <w:rPr>
          <w:rFonts w:ascii="Arial" w:hAnsi="Arial" w:cs="Arial"/>
        </w:rPr>
        <w:t xml:space="preserve"> dos 60% para pagamento do magistério, expedindo determinação cautelar para que os gestores responsáveis se abstenham de utilizar tais recursos no pagamento </w:t>
      </w:r>
      <w:proofErr w:type="gramStart"/>
      <w:r>
        <w:rPr>
          <w:rFonts w:ascii="Arial" w:hAnsi="Arial" w:cs="Arial"/>
        </w:rPr>
        <w:t>a profissionais</w:t>
      </w:r>
      <w:proofErr w:type="gramEnd"/>
      <w:r>
        <w:rPr>
          <w:rFonts w:ascii="Arial" w:hAnsi="Arial" w:cs="Arial"/>
        </w:rPr>
        <w:t xml:space="preserve"> do magistério ou a quaisquer outros servidores públicos, a qualquer título, a exemplo de remuneração, salário abono ou rateio até julgamento meritório quanto à matéria. Ressalta-se que tanto a Divisão Técnica – DFAM quanto o MPC, nos autos do TC/023691/2017, sugeriram que fosse seguido o entendimento do TCU quanto à </w:t>
      </w:r>
      <w:proofErr w:type="spellStart"/>
      <w:r>
        <w:rPr>
          <w:rFonts w:ascii="Arial" w:hAnsi="Arial" w:cs="Arial"/>
        </w:rPr>
        <w:t>subvinculação</w:t>
      </w:r>
      <w:proofErr w:type="spellEnd"/>
      <w:r>
        <w:rPr>
          <w:rFonts w:ascii="Arial" w:hAnsi="Arial" w:cs="Arial"/>
        </w:rPr>
        <w:t xml:space="preserve"> para fins de homogeneização dos entendimentos.</w:t>
      </w:r>
    </w:p>
    <w:p w:rsidR="005F0FAC" w:rsidRDefault="005F0FAC" w:rsidP="005F0FAC">
      <w:pPr>
        <w:spacing w:line="360" w:lineRule="auto"/>
        <w:ind w:firstLine="1418"/>
        <w:jc w:val="both"/>
        <w:rPr>
          <w:rFonts w:ascii="Arial" w:hAnsi="Arial" w:cs="Arial"/>
        </w:rPr>
      </w:pPr>
    </w:p>
    <w:p w:rsidR="005F0FAC" w:rsidRDefault="005F0FAC" w:rsidP="005F0FAC">
      <w:pPr>
        <w:spacing w:line="360" w:lineRule="auto"/>
        <w:ind w:firstLine="1418"/>
        <w:jc w:val="both"/>
        <w:rPr>
          <w:rFonts w:ascii="Arial" w:hAnsi="Arial" w:cs="Arial"/>
        </w:rPr>
      </w:pPr>
      <w:r w:rsidRPr="005D14EA">
        <w:rPr>
          <w:rFonts w:ascii="Arial" w:hAnsi="Arial" w:cs="Arial"/>
        </w:rPr>
        <w:t>Embora haja tal discussão, tanto o TCU quanto o TCE tem proferido entendimentos pela necessária vinculação dos recursos à educação, notadamente excluindo-se a possiblidade de utilização dos recurso</w:t>
      </w:r>
      <w:r w:rsidR="00DB67F6">
        <w:rPr>
          <w:rFonts w:ascii="Arial" w:hAnsi="Arial" w:cs="Arial"/>
        </w:rPr>
        <w:t>s para pagamento de honorários</w:t>
      </w:r>
      <w:r w:rsidRPr="005D14EA">
        <w:rPr>
          <w:rFonts w:ascii="Arial" w:hAnsi="Arial" w:cs="Arial"/>
        </w:rPr>
        <w:t xml:space="preserve"> advocatícios. Para fins de efetiva fiscalização quanto </w:t>
      </w:r>
      <w:r w:rsidR="00DB67F6">
        <w:rPr>
          <w:rFonts w:ascii="Arial" w:hAnsi="Arial" w:cs="Arial"/>
        </w:rPr>
        <w:t>à</w:t>
      </w:r>
      <w:r w:rsidRPr="005D14EA">
        <w:rPr>
          <w:rFonts w:ascii="Arial" w:hAnsi="Arial" w:cs="Arial"/>
        </w:rPr>
        <w:t xml:space="preserve"> adequada aplicação destas vultosas quantias, tem-se mostrado de extrema importância </w:t>
      </w:r>
      <w:proofErr w:type="gramStart"/>
      <w:r w:rsidRPr="005D14EA">
        <w:rPr>
          <w:rFonts w:ascii="Arial" w:hAnsi="Arial" w:cs="Arial"/>
        </w:rPr>
        <w:t>a</w:t>
      </w:r>
      <w:proofErr w:type="gramEnd"/>
      <w:r w:rsidRPr="005D14EA">
        <w:rPr>
          <w:rFonts w:ascii="Arial" w:hAnsi="Arial" w:cs="Arial"/>
        </w:rPr>
        <w:t xml:space="preserve"> fixação, pela Decisão Normativa nº 27, de necessária adequação das leis orçamentárias municipais (LOA, LDO, PPA), bem como o encaminhamento do Plano de Aplicação dos recursos para que sua execução possa ser acompanhada pelos técnicos deste Tribunal de Contas.</w:t>
      </w:r>
    </w:p>
    <w:p w:rsidR="005F0FAC" w:rsidRDefault="005F0FAC" w:rsidP="005F0FAC">
      <w:pPr>
        <w:spacing w:line="360" w:lineRule="auto"/>
        <w:ind w:firstLine="1418"/>
        <w:jc w:val="both"/>
        <w:rPr>
          <w:rFonts w:ascii="Arial" w:hAnsi="Arial" w:cs="Arial"/>
        </w:rPr>
      </w:pPr>
    </w:p>
    <w:p w:rsidR="005F0FAC" w:rsidRPr="004C1691" w:rsidRDefault="005F0FAC" w:rsidP="005F0FAC">
      <w:pPr>
        <w:spacing w:line="360" w:lineRule="auto"/>
        <w:ind w:firstLine="1418"/>
        <w:jc w:val="both"/>
        <w:rPr>
          <w:rFonts w:ascii="Arial" w:hAnsi="Arial" w:cs="Arial"/>
        </w:rPr>
      </w:pPr>
      <w:r>
        <w:rPr>
          <w:rFonts w:ascii="Arial" w:hAnsi="Arial" w:cs="Arial"/>
        </w:rPr>
        <w:t xml:space="preserve">Desta maneira, bem como, por fim, </w:t>
      </w:r>
      <w:r w:rsidRPr="005D14EA">
        <w:rPr>
          <w:rFonts w:ascii="Arial" w:hAnsi="Arial" w:cs="Arial"/>
        </w:rPr>
        <w:t>considerando a informação da Diretoria de Fiscalização da Administração Municipal – DFAM através do Memorando nº</w:t>
      </w:r>
      <w:r>
        <w:rPr>
          <w:rFonts w:ascii="Arial" w:hAnsi="Arial" w:cs="Arial"/>
        </w:rPr>
        <w:t xml:space="preserve"> 212/2018-DFAM de que outros Municípios teriam recebidos valores de precatórios oriundos de complementação do FUNDEF, posteriormente às Representações apresentadas pelo MPC, considerando de extrema importância para fins de fiscalização dos recursos a adoção das medidas supracitadas, mostra-se necessária a propositura da presente representação, nos moldes das já propostas Representações TC/017339/2016 e TC/014695/2017, para fins de Bloqueio das Contas dos entes municipais citados, bem como expedição das determinações que ao final serão expostas.</w:t>
      </w:r>
    </w:p>
    <w:p w:rsidR="005F0FAC" w:rsidRDefault="005F0FAC" w:rsidP="005F0FAC">
      <w:pPr>
        <w:spacing w:line="360" w:lineRule="auto"/>
        <w:ind w:firstLine="1418"/>
        <w:jc w:val="both"/>
        <w:rPr>
          <w:rFonts w:ascii="Arial" w:hAnsi="Arial" w:cs="Arial"/>
        </w:rPr>
      </w:pPr>
    </w:p>
    <w:p w:rsidR="005F0FAC" w:rsidRDefault="005F0FAC" w:rsidP="005F0FAC">
      <w:pPr>
        <w:spacing w:line="360" w:lineRule="auto"/>
        <w:ind w:firstLine="1418"/>
        <w:jc w:val="both"/>
        <w:rPr>
          <w:rFonts w:ascii="Arial" w:hAnsi="Arial" w:cs="Arial"/>
        </w:rPr>
      </w:pPr>
      <w:r>
        <w:rPr>
          <w:rFonts w:ascii="Arial" w:hAnsi="Arial" w:cs="Arial"/>
        </w:rPr>
        <w:t>Passa-se, de maneira abreviada, à exposição dos fundamentos jurídicos já levantados anteriormente pelo MPC e reforçados ulteriormente pelas deliberações desta Colenda Corte, para posterior explanação do pleito ministerial.</w:t>
      </w:r>
    </w:p>
    <w:p w:rsidR="005F0FAC" w:rsidRDefault="005F0FAC" w:rsidP="005F0FAC">
      <w:pPr>
        <w:spacing w:line="360" w:lineRule="auto"/>
        <w:ind w:firstLine="1418"/>
        <w:jc w:val="both"/>
        <w:rPr>
          <w:rFonts w:ascii="Arial" w:hAnsi="Arial" w:cs="Arial"/>
        </w:rPr>
      </w:pPr>
    </w:p>
    <w:p w:rsidR="005F0FAC" w:rsidRPr="001A2D5A" w:rsidRDefault="005F0FAC" w:rsidP="005F0FAC">
      <w:pPr>
        <w:pStyle w:val="Recuodecorpodetexto"/>
        <w:pBdr>
          <w:top w:val="single" w:sz="4" w:space="1" w:color="auto"/>
          <w:left w:val="single" w:sz="4" w:space="4" w:color="auto"/>
          <w:bottom w:val="single" w:sz="4" w:space="1" w:color="auto"/>
          <w:right w:val="single" w:sz="4" w:space="4" w:color="auto"/>
        </w:pBdr>
        <w:shd w:val="clear" w:color="auto" w:fill="E0E0E0"/>
        <w:tabs>
          <w:tab w:val="left" w:pos="1418"/>
        </w:tabs>
        <w:ind w:left="0"/>
        <w:rPr>
          <w:rFonts w:ascii="Arial" w:hAnsi="Arial" w:cs="Arial"/>
          <w:b/>
          <w:bCs/>
          <w:i w:val="0"/>
          <w:sz w:val="20"/>
          <w:szCs w:val="20"/>
        </w:rPr>
      </w:pPr>
      <w:r>
        <w:rPr>
          <w:rFonts w:ascii="Arial" w:hAnsi="Arial" w:cs="Arial"/>
          <w:b/>
          <w:bCs/>
          <w:i w:val="0"/>
          <w:sz w:val="20"/>
          <w:szCs w:val="20"/>
        </w:rPr>
        <w:t>2</w:t>
      </w:r>
      <w:r w:rsidRPr="001A2D5A">
        <w:rPr>
          <w:rFonts w:ascii="Arial" w:hAnsi="Arial" w:cs="Arial"/>
          <w:b/>
          <w:bCs/>
          <w:i w:val="0"/>
          <w:sz w:val="20"/>
          <w:szCs w:val="20"/>
        </w:rPr>
        <w:t xml:space="preserve"> </w:t>
      </w:r>
      <w:r>
        <w:rPr>
          <w:rFonts w:ascii="Arial" w:hAnsi="Arial" w:cs="Arial"/>
          <w:b/>
          <w:bCs/>
          <w:i w:val="0"/>
          <w:sz w:val="20"/>
          <w:szCs w:val="20"/>
        </w:rPr>
        <w:t>–</w:t>
      </w:r>
      <w:r w:rsidRPr="001A2D5A">
        <w:rPr>
          <w:rFonts w:ascii="Arial" w:hAnsi="Arial" w:cs="Arial"/>
          <w:b/>
          <w:bCs/>
          <w:i w:val="0"/>
          <w:sz w:val="20"/>
          <w:szCs w:val="20"/>
        </w:rPr>
        <w:t xml:space="preserve"> </w:t>
      </w:r>
      <w:r>
        <w:rPr>
          <w:rFonts w:ascii="Arial" w:hAnsi="Arial" w:cs="Arial"/>
          <w:b/>
          <w:bCs/>
          <w:i w:val="0"/>
          <w:sz w:val="20"/>
          <w:szCs w:val="20"/>
        </w:rPr>
        <w:t>DO DIREITO</w:t>
      </w:r>
    </w:p>
    <w:p w:rsidR="005F0FAC" w:rsidRDefault="005F0FAC" w:rsidP="005F0FAC">
      <w:pPr>
        <w:spacing w:line="360" w:lineRule="auto"/>
        <w:ind w:firstLine="1418"/>
        <w:jc w:val="both"/>
        <w:rPr>
          <w:rFonts w:ascii="Arial" w:hAnsi="Arial" w:cs="Arial"/>
        </w:rPr>
      </w:pPr>
    </w:p>
    <w:p w:rsidR="005F0FAC" w:rsidRDefault="005F0FAC" w:rsidP="005F0FAC">
      <w:pPr>
        <w:spacing w:line="360" w:lineRule="auto"/>
        <w:jc w:val="both"/>
        <w:rPr>
          <w:rFonts w:ascii="Arial" w:hAnsi="Arial" w:cs="Arial"/>
          <w:b/>
          <w:i/>
          <w:u w:val="single"/>
        </w:rPr>
      </w:pPr>
      <w:r w:rsidRPr="007F45EB">
        <w:rPr>
          <w:rFonts w:ascii="Arial" w:hAnsi="Arial" w:cs="Arial"/>
          <w:b/>
          <w:i/>
        </w:rPr>
        <w:t>I</w:t>
      </w:r>
      <w:r>
        <w:rPr>
          <w:rFonts w:ascii="Arial" w:hAnsi="Arial" w:cs="Arial"/>
          <w:b/>
          <w:i/>
        </w:rPr>
        <w:t xml:space="preserve"> – </w:t>
      </w:r>
      <w:r>
        <w:rPr>
          <w:rFonts w:ascii="Arial" w:hAnsi="Arial" w:cs="Arial"/>
          <w:b/>
          <w:i/>
          <w:u w:val="single"/>
        </w:rPr>
        <w:t>DA APLICAÇÃO E FISCALIZAÇÃO DOS RECURSOS ATINENTES AOS PRECATÓRIOS DO FUNDEF</w:t>
      </w:r>
    </w:p>
    <w:p w:rsidR="005F0FAC" w:rsidRDefault="005F0FAC" w:rsidP="005F0FAC">
      <w:pPr>
        <w:spacing w:line="360" w:lineRule="auto"/>
        <w:ind w:firstLine="1418"/>
        <w:jc w:val="both"/>
        <w:rPr>
          <w:rFonts w:ascii="Arial" w:hAnsi="Arial" w:cs="Arial"/>
          <w:b/>
          <w:i/>
          <w:u w:val="single"/>
        </w:rPr>
      </w:pPr>
    </w:p>
    <w:p w:rsidR="005F0FAC" w:rsidRDefault="005F0FAC" w:rsidP="005F0FAC">
      <w:pPr>
        <w:spacing w:line="360" w:lineRule="auto"/>
        <w:ind w:firstLine="1418"/>
        <w:jc w:val="both"/>
        <w:rPr>
          <w:rFonts w:ascii="Arial" w:hAnsi="Arial" w:cs="Arial"/>
        </w:rPr>
      </w:pPr>
      <w:r>
        <w:rPr>
          <w:rFonts w:ascii="Arial" w:hAnsi="Arial" w:cs="Arial"/>
        </w:rPr>
        <w:t>É fato notório e de conhecimento deste Tribunal de Contas que, nos últimos exercícios financeiros, foram creditadas vultosas quantias de recursos oriundos a título de pagamento de precatórios da União em decorrência do julgamento de ações atinentes a diferença nos repasses da União para o FUNDEF a vários Municípios jurisdicionados.</w:t>
      </w:r>
    </w:p>
    <w:p w:rsidR="005F0FAC" w:rsidRDefault="005F0FAC" w:rsidP="005F0FAC">
      <w:pPr>
        <w:spacing w:line="360" w:lineRule="auto"/>
        <w:ind w:firstLine="1418"/>
        <w:jc w:val="both"/>
        <w:rPr>
          <w:rFonts w:ascii="Arial" w:hAnsi="Arial" w:cs="Arial"/>
        </w:rPr>
      </w:pPr>
    </w:p>
    <w:p w:rsidR="005F0FAC" w:rsidRDefault="005F0FAC" w:rsidP="005F0FAC">
      <w:pPr>
        <w:spacing w:line="360" w:lineRule="auto"/>
        <w:ind w:firstLine="1418"/>
        <w:jc w:val="both"/>
        <w:rPr>
          <w:rFonts w:ascii="Arial" w:hAnsi="Arial" w:cs="Arial"/>
        </w:rPr>
      </w:pPr>
      <w:r>
        <w:rPr>
          <w:rFonts w:ascii="Arial" w:hAnsi="Arial" w:cs="Arial"/>
          <w:i/>
        </w:rPr>
        <w:t>Ad exemplum</w:t>
      </w:r>
      <w:r>
        <w:rPr>
          <w:rFonts w:ascii="Arial" w:hAnsi="Arial" w:cs="Arial"/>
        </w:rPr>
        <w:t>, na Representação TC/017339/16 peticionara-se pelo bloqueio do total de R$ 338.384.877,59 de 11 Municípios.</w:t>
      </w:r>
    </w:p>
    <w:p w:rsidR="005F0FAC" w:rsidRDefault="005F0FAC" w:rsidP="005F0FAC">
      <w:pPr>
        <w:spacing w:line="360" w:lineRule="auto"/>
        <w:ind w:firstLine="1418"/>
        <w:jc w:val="both"/>
        <w:rPr>
          <w:rFonts w:ascii="Arial" w:hAnsi="Arial" w:cs="Arial"/>
        </w:rPr>
      </w:pPr>
    </w:p>
    <w:p w:rsidR="005F0FAC" w:rsidRDefault="005F0FAC" w:rsidP="005F0FAC">
      <w:pPr>
        <w:spacing w:line="360" w:lineRule="auto"/>
        <w:ind w:firstLine="1418"/>
        <w:jc w:val="both"/>
        <w:rPr>
          <w:rFonts w:ascii="Arial" w:hAnsi="Arial" w:cs="Arial"/>
        </w:rPr>
      </w:pPr>
      <w:r>
        <w:rPr>
          <w:rFonts w:ascii="Arial" w:hAnsi="Arial" w:cs="Arial"/>
        </w:rPr>
        <w:t xml:space="preserve">Os questionamentos quanto </w:t>
      </w:r>
      <w:proofErr w:type="gramStart"/>
      <w:r>
        <w:rPr>
          <w:rFonts w:ascii="Arial" w:hAnsi="Arial" w:cs="Arial"/>
          <w:u w:val="single"/>
        </w:rPr>
        <w:t>a</w:t>
      </w:r>
      <w:proofErr w:type="gramEnd"/>
      <w:r w:rsidRPr="001F27E7">
        <w:rPr>
          <w:rFonts w:ascii="Arial" w:hAnsi="Arial" w:cs="Arial"/>
          <w:u w:val="single"/>
        </w:rPr>
        <w:t xml:space="preserve"> </w:t>
      </w:r>
      <w:r>
        <w:rPr>
          <w:rFonts w:ascii="Arial" w:hAnsi="Arial" w:cs="Arial"/>
          <w:u w:val="single"/>
        </w:rPr>
        <w:t>aplicação</w:t>
      </w:r>
      <w:r w:rsidRPr="006A28AA">
        <w:rPr>
          <w:rFonts w:ascii="Arial" w:hAnsi="Arial" w:cs="Arial"/>
        </w:rPr>
        <w:t xml:space="preserve"> </w:t>
      </w:r>
      <w:r>
        <w:rPr>
          <w:rFonts w:ascii="Arial" w:hAnsi="Arial" w:cs="Arial"/>
        </w:rPr>
        <w:t xml:space="preserve">dos recursos em análise não são recentes, tendo sido, inclusive, objeto de análise de Consulta nesta Corte de Contas, como é o caso do Processo TC/006160/2015, sem que houvesse uma definição definitiva. </w:t>
      </w:r>
    </w:p>
    <w:p w:rsidR="005F0FAC" w:rsidRDefault="005F0FAC" w:rsidP="005F0FAC">
      <w:pPr>
        <w:spacing w:line="360" w:lineRule="auto"/>
        <w:ind w:firstLine="1418"/>
        <w:jc w:val="both"/>
        <w:rPr>
          <w:rFonts w:ascii="Arial" w:hAnsi="Arial" w:cs="Arial"/>
        </w:rPr>
      </w:pPr>
    </w:p>
    <w:p w:rsidR="005F0FAC" w:rsidRDefault="005F0FAC" w:rsidP="005F0FAC">
      <w:pPr>
        <w:spacing w:line="360" w:lineRule="auto"/>
        <w:ind w:firstLine="1418"/>
        <w:jc w:val="both"/>
        <w:rPr>
          <w:rFonts w:ascii="Arial" w:hAnsi="Arial" w:cs="Arial"/>
        </w:rPr>
      </w:pPr>
      <w:r>
        <w:rPr>
          <w:rFonts w:ascii="Arial" w:hAnsi="Arial" w:cs="Arial"/>
        </w:rPr>
        <w:t xml:space="preserve">Sem grandes alongamentos, no entanto, o cenário atual dos entendimentos proferidos tanto pelo TCU quanto pelo TCE convergem pela </w:t>
      </w:r>
      <w:r w:rsidRPr="00FC794B">
        <w:rPr>
          <w:rFonts w:ascii="Arial" w:hAnsi="Arial" w:cs="Arial"/>
          <w:b/>
          <w:u w:val="single"/>
        </w:rPr>
        <w:t>necessária vinculação dos recursos à educação</w:t>
      </w:r>
      <w:r>
        <w:rPr>
          <w:rFonts w:ascii="Arial" w:hAnsi="Arial" w:cs="Arial"/>
        </w:rPr>
        <w:t>, como extraído das já citadas Decisão Normativa nº 27 – TCE/PI e Acórdão nº 2.711-A/17-TCE/PI (proferido nos autos do TC/017339/2016), já anteriormente expostos, e Acórdão nº 1824/2017-TCU-Plenário, como segue:</w:t>
      </w:r>
    </w:p>
    <w:p w:rsidR="005F0FAC" w:rsidRPr="00B75A29" w:rsidRDefault="005F0FAC" w:rsidP="005F0FAC">
      <w:pPr>
        <w:spacing w:line="360" w:lineRule="auto"/>
        <w:ind w:firstLine="1418"/>
        <w:jc w:val="both"/>
        <w:rPr>
          <w:rFonts w:ascii="Arial" w:hAnsi="Arial" w:cs="Arial"/>
          <w:sz w:val="16"/>
        </w:rPr>
      </w:pPr>
    </w:p>
    <w:p w:rsidR="005F0FAC" w:rsidRPr="00514142" w:rsidRDefault="005F0FAC" w:rsidP="005F0FAC">
      <w:pPr>
        <w:spacing w:line="360" w:lineRule="auto"/>
        <w:ind w:left="2268"/>
        <w:jc w:val="both"/>
        <w:rPr>
          <w:rFonts w:ascii="Arial" w:hAnsi="Arial" w:cs="Arial"/>
          <w:i/>
          <w:sz w:val="18"/>
          <w:szCs w:val="18"/>
        </w:rPr>
      </w:pPr>
      <w:r w:rsidRPr="00514142">
        <w:rPr>
          <w:rFonts w:ascii="Arial" w:hAnsi="Arial" w:cs="Arial"/>
          <w:i/>
          <w:sz w:val="18"/>
          <w:szCs w:val="18"/>
        </w:rPr>
        <w:t>GRUPO II – CLASSE VII – Plenário</w:t>
      </w:r>
    </w:p>
    <w:p w:rsidR="005F0FAC" w:rsidRPr="00514142" w:rsidRDefault="005F0FAC" w:rsidP="005F0FAC">
      <w:pPr>
        <w:spacing w:line="360" w:lineRule="auto"/>
        <w:ind w:left="2268"/>
        <w:jc w:val="both"/>
        <w:rPr>
          <w:rFonts w:ascii="Arial" w:hAnsi="Arial" w:cs="Arial"/>
          <w:i/>
          <w:sz w:val="18"/>
          <w:szCs w:val="18"/>
        </w:rPr>
      </w:pPr>
      <w:r w:rsidRPr="00514142">
        <w:rPr>
          <w:rFonts w:ascii="Arial" w:hAnsi="Arial" w:cs="Arial"/>
          <w:i/>
          <w:sz w:val="18"/>
          <w:szCs w:val="18"/>
        </w:rPr>
        <w:t>TC 005.506/2017-4</w:t>
      </w:r>
    </w:p>
    <w:p w:rsidR="005F0FAC" w:rsidRPr="00514142" w:rsidRDefault="005F0FAC" w:rsidP="005F0FAC">
      <w:pPr>
        <w:spacing w:line="360" w:lineRule="auto"/>
        <w:ind w:left="2268"/>
        <w:jc w:val="both"/>
        <w:rPr>
          <w:rFonts w:ascii="Arial" w:hAnsi="Arial" w:cs="Arial"/>
          <w:i/>
          <w:sz w:val="18"/>
          <w:szCs w:val="18"/>
        </w:rPr>
      </w:pPr>
      <w:r w:rsidRPr="00514142">
        <w:rPr>
          <w:rFonts w:ascii="Arial" w:hAnsi="Arial" w:cs="Arial"/>
          <w:i/>
          <w:sz w:val="18"/>
          <w:szCs w:val="18"/>
        </w:rPr>
        <w:t>Natureza(s): Representação</w:t>
      </w:r>
    </w:p>
    <w:p w:rsidR="005F0FAC" w:rsidRPr="00514142" w:rsidRDefault="005F0FAC" w:rsidP="005F0FAC">
      <w:pPr>
        <w:spacing w:line="360" w:lineRule="auto"/>
        <w:ind w:left="2268"/>
        <w:jc w:val="both"/>
        <w:rPr>
          <w:rFonts w:ascii="Arial" w:hAnsi="Arial" w:cs="Arial"/>
          <w:i/>
          <w:sz w:val="18"/>
          <w:szCs w:val="18"/>
        </w:rPr>
      </w:pPr>
      <w:r w:rsidRPr="00514142">
        <w:rPr>
          <w:rFonts w:ascii="Arial" w:hAnsi="Arial" w:cs="Arial"/>
          <w:i/>
          <w:sz w:val="18"/>
          <w:szCs w:val="18"/>
        </w:rPr>
        <w:t xml:space="preserve">Órgãos/Entidades: Advocacia - Geral da União; Fundo de Manutenção e Desenvolvimento do Ensino Fundamental e de Valorização do Magistério - FUNDEF; Fundo Nacional de Desenvolvimento da Educação; Ministério da Educação Representação legal: não </w:t>
      </w:r>
      <w:proofErr w:type="gramStart"/>
      <w:r w:rsidRPr="00514142">
        <w:rPr>
          <w:rFonts w:ascii="Arial" w:hAnsi="Arial" w:cs="Arial"/>
          <w:i/>
          <w:sz w:val="18"/>
          <w:szCs w:val="18"/>
        </w:rPr>
        <w:t>há</w:t>
      </w:r>
      <w:proofErr w:type="gramEnd"/>
    </w:p>
    <w:p w:rsidR="005F0FAC" w:rsidRDefault="005F0FAC" w:rsidP="005F0FAC">
      <w:pPr>
        <w:spacing w:line="360" w:lineRule="auto"/>
        <w:ind w:left="2268"/>
        <w:jc w:val="both"/>
        <w:rPr>
          <w:rFonts w:ascii="Arial" w:hAnsi="Arial" w:cs="Arial"/>
          <w:i/>
          <w:sz w:val="18"/>
          <w:szCs w:val="18"/>
        </w:rPr>
      </w:pPr>
      <w:r w:rsidRPr="00514142">
        <w:rPr>
          <w:rFonts w:ascii="Arial" w:hAnsi="Arial" w:cs="Arial"/>
          <w:i/>
          <w:sz w:val="18"/>
          <w:szCs w:val="18"/>
        </w:rPr>
        <w:t xml:space="preserve">SUMÁRIO: REPRESENTAÇÃO DO MINISTÉRIO PÚBLICO FEDERAL, MINISTÉRIO PÚBLICO DO ESTADO DO MARANHÃO E MINISTÉRIO PÚBLICO DE CONTAS DO MARANHÃO. IRREGULARIDADES NA DESTINAÇÃO DO PAGAMENTO DE DIFERENÇAS DE COMPLEMENTAÇÃO DEVIDA PELA UNIÃO NO ÂMBITO DO EXTINTO FUNDEF. AÇÃO CIVIL PÚBLICA CONDENANDO A UNIÃO AO PAGAMENTO DOS VALORES JÁ TRANSITADA EM JULGADO. CONTRATAÇÃO DE TRÊS ESCRITÓRIOS DE ADVOGACIA, POR INEXIGIBILIDADE DE LICITAÇÃO, COM A FIXAÇÃO DE HONORÁRIOS </w:t>
      </w:r>
      <w:r w:rsidRPr="00514142">
        <w:rPr>
          <w:rFonts w:ascii="Arial" w:hAnsi="Arial" w:cs="Arial"/>
          <w:i/>
          <w:sz w:val="18"/>
          <w:szCs w:val="18"/>
        </w:rPr>
        <w:lastRenderedPageBreak/>
        <w:t xml:space="preserve">CORRESPONDENTES A 20% DO ÊXITO, POR CENTO E DEZ MUNICÍPIOS DO ESTADO DO MARANHÃO. </w:t>
      </w:r>
      <w:r w:rsidRPr="00514142">
        <w:rPr>
          <w:rFonts w:ascii="Arial" w:hAnsi="Arial" w:cs="Arial"/>
          <w:b/>
          <w:i/>
          <w:sz w:val="18"/>
          <w:szCs w:val="18"/>
        </w:rPr>
        <w:t>RISCO DE DESVIO DE RECURSOS CONSTITUCIONALMENTE VINCULADOS À EDUCAÇÃO PARA O PAGAMENTO DE HONORÁRIOS CONTRATUAIS EM RAZÃO DO ARTIGO 22, §4º, DA LEI 8906/1994. VINCULAÇÃO DE ORDEM CONSTITUCIONAL.</w:t>
      </w:r>
      <w:r w:rsidRPr="00514142">
        <w:rPr>
          <w:rFonts w:ascii="Arial" w:hAnsi="Arial" w:cs="Arial"/>
          <w:i/>
          <w:sz w:val="18"/>
          <w:szCs w:val="18"/>
        </w:rPr>
        <w:t xml:space="preserve"> </w:t>
      </w:r>
      <w:r w:rsidRPr="00514142">
        <w:rPr>
          <w:rFonts w:ascii="Arial" w:hAnsi="Arial" w:cs="Arial"/>
          <w:b/>
          <w:i/>
          <w:sz w:val="18"/>
          <w:szCs w:val="18"/>
        </w:rPr>
        <w:t>IMPOSSIBILIDADE DE APLICAÇÃO EM FINALIDADE DIVERSA</w:t>
      </w:r>
      <w:r w:rsidRPr="00514142">
        <w:rPr>
          <w:rFonts w:ascii="Arial" w:hAnsi="Arial" w:cs="Arial"/>
          <w:i/>
          <w:sz w:val="18"/>
          <w:szCs w:val="18"/>
        </w:rPr>
        <w:t>. PLÚRIMAS IRREGULARIDADES. DANO AO ERÁRIO. RESPONSABILIDADE PESSOAL DO AGENTE QUE DEU CAUSA AOS DESVIOS. IRREGULARIDADES GRAVÍSSIMAS. DETERMINAÇÕES.</w:t>
      </w:r>
    </w:p>
    <w:p w:rsidR="005F0FAC" w:rsidRPr="00514142" w:rsidRDefault="005F0FAC" w:rsidP="005F0FAC">
      <w:pPr>
        <w:spacing w:line="360" w:lineRule="auto"/>
        <w:ind w:left="2268"/>
        <w:jc w:val="both"/>
        <w:rPr>
          <w:rFonts w:ascii="Arial" w:hAnsi="Arial" w:cs="Arial"/>
          <w:i/>
          <w:sz w:val="18"/>
          <w:szCs w:val="18"/>
        </w:rPr>
      </w:pPr>
      <w:r>
        <w:rPr>
          <w:rFonts w:ascii="Arial" w:hAnsi="Arial" w:cs="Arial"/>
          <w:i/>
          <w:sz w:val="18"/>
          <w:szCs w:val="18"/>
        </w:rPr>
        <w:t>(...)</w:t>
      </w:r>
    </w:p>
    <w:p w:rsidR="005F0FAC" w:rsidRDefault="005F0FAC" w:rsidP="005F0FAC">
      <w:pPr>
        <w:spacing w:line="360" w:lineRule="auto"/>
        <w:ind w:left="2268"/>
        <w:jc w:val="both"/>
        <w:rPr>
          <w:rFonts w:ascii="Arial" w:hAnsi="Arial" w:cs="Arial"/>
          <w:i/>
          <w:sz w:val="18"/>
          <w:szCs w:val="18"/>
        </w:rPr>
      </w:pPr>
      <w:r w:rsidRPr="00514142">
        <w:rPr>
          <w:rFonts w:ascii="Arial" w:hAnsi="Arial" w:cs="Arial"/>
          <w:i/>
          <w:sz w:val="18"/>
          <w:szCs w:val="18"/>
        </w:rPr>
        <w:t>ACORDAM os Ministros do Tribunal de Contas da União, reunidos em Sessão de Plenário, diante das razões expostas pelo Relator, em:</w:t>
      </w:r>
    </w:p>
    <w:p w:rsidR="005F0FAC" w:rsidRDefault="005F0FAC" w:rsidP="005F0FAC">
      <w:pPr>
        <w:spacing w:line="360" w:lineRule="auto"/>
        <w:ind w:left="2268"/>
        <w:jc w:val="both"/>
        <w:rPr>
          <w:rFonts w:ascii="Arial" w:hAnsi="Arial" w:cs="Arial"/>
          <w:i/>
          <w:sz w:val="18"/>
          <w:szCs w:val="18"/>
        </w:rPr>
      </w:pPr>
      <w:r w:rsidRPr="00514142">
        <w:rPr>
          <w:rFonts w:ascii="Arial" w:hAnsi="Arial" w:cs="Arial"/>
          <w:i/>
          <w:sz w:val="18"/>
          <w:szCs w:val="18"/>
        </w:rPr>
        <w:t>9.1.</w:t>
      </w:r>
      <w:r w:rsidRPr="00514142">
        <w:rPr>
          <w:rFonts w:ascii="Arial" w:hAnsi="Arial" w:cs="Arial"/>
          <w:b/>
          <w:i/>
          <w:sz w:val="18"/>
          <w:szCs w:val="18"/>
        </w:rPr>
        <w:t>conhecer</w:t>
      </w:r>
      <w:r w:rsidRPr="00514142">
        <w:rPr>
          <w:rFonts w:ascii="Arial" w:hAnsi="Arial" w:cs="Arial"/>
          <w:i/>
          <w:sz w:val="18"/>
          <w:szCs w:val="18"/>
        </w:rPr>
        <w:t xml:space="preserve"> da presente representação, satisfeitos os requisitos de admissibilidade previstos nos artigos 235</w:t>
      </w:r>
      <w:proofErr w:type="gramStart"/>
      <w:r w:rsidRPr="00514142">
        <w:rPr>
          <w:rFonts w:ascii="Arial" w:hAnsi="Arial" w:cs="Arial"/>
          <w:i/>
          <w:sz w:val="18"/>
          <w:szCs w:val="18"/>
        </w:rPr>
        <w:t xml:space="preserve">  </w:t>
      </w:r>
      <w:proofErr w:type="gramEnd"/>
      <w:r w:rsidRPr="00514142">
        <w:rPr>
          <w:rFonts w:ascii="Arial" w:hAnsi="Arial" w:cs="Arial"/>
          <w:i/>
          <w:sz w:val="18"/>
          <w:szCs w:val="18"/>
        </w:rPr>
        <w:t xml:space="preserve">e 237, incisos I e VII e parágrafo único, do Regimento Interno do TCU, para, no mérito, </w:t>
      </w:r>
      <w:r w:rsidRPr="00514142">
        <w:rPr>
          <w:rFonts w:ascii="Arial" w:hAnsi="Arial" w:cs="Arial"/>
          <w:b/>
          <w:i/>
          <w:sz w:val="18"/>
          <w:szCs w:val="18"/>
        </w:rPr>
        <w:t>considerá-la inteiramente procedente;</w:t>
      </w:r>
      <w:r w:rsidRPr="00514142">
        <w:rPr>
          <w:rFonts w:ascii="Arial" w:hAnsi="Arial" w:cs="Arial"/>
          <w:i/>
          <w:sz w:val="18"/>
          <w:szCs w:val="18"/>
        </w:rPr>
        <w:t xml:space="preserve"> </w:t>
      </w:r>
    </w:p>
    <w:p w:rsidR="005F0FAC" w:rsidRDefault="005F0FAC" w:rsidP="005F0FAC">
      <w:pPr>
        <w:spacing w:line="360" w:lineRule="auto"/>
        <w:ind w:left="2268"/>
        <w:jc w:val="both"/>
        <w:rPr>
          <w:rFonts w:ascii="Arial" w:hAnsi="Arial" w:cs="Arial"/>
          <w:i/>
          <w:sz w:val="18"/>
          <w:szCs w:val="18"/>
        </w:rPr>
      </w:pPr>
      <w:r>
        <w:rPr>
          <w:rFonts w:ascii="Arial" w:hAnsi="Arial" w:cs="Arial"/>
          <w:i/>
          <w:sz w:val="18"/>
          <w:szCs w:val="18"/>
        </w:rPr>
        <w:t>9.2.</w:t>
      </w:r>
      <w:r w:rsidRPr="00514142">
        <w:rPr>
          <w:rFonts w:ascii="Arial" w:hAnsi="Arial" w:cs="Arial"/>
          <w:b/>
          <w:i/>
          <w:sz w:val="18"/>
          <w:szCs w:val="18"/>
        </w:rPr>
        <w:t>firmar os seguintes entendimentos</w:t>
      </w:r>
      <w:r w:rsidRPr="00514142">
        <w:rPr>
          <w:rFonts w:ascii="Arial" w:hAnsi="Arial" w:cs="Arial"/>
          <w:i/>
          <w:sz w:val="18"/>
          <w:szCs w:val="18"/>
        </w:rPr>
        <w:t xml:space="preserve"> em relação aos recursos federais, decorrentes da complementação da União ao Fundo de Manutenção e Desenvolvimento do Ensino Fundamental e de Valorização do Magistério – Fundef e ao Fundo de Manutenção e Desenvolvimento da Educação Básica e de Valorização dos Profissionais da Educação – </w:t>
      </w:r>
      <w:proofErr w:type="spellStart"/>
      <w:r w:rsidRPr="00514142">
        <w:rPr>
          <w:rFonts w:ascii="Arial" w:hAnsi="Arial" w:cs="Arial"/>
          <w:i/>
          <w:sz w:val="18"/>
          <w:szCs w:val="18"/>
        </w:rPr>
        <w:t>Fundeb</w:t>
      </w:r>
      <w:proofErr w:type="spellEnd"/>
      <w:r w:rsidRPr="00514142">
        <w:rPr>
          <w:rFonts w:ascii="Arial" w:hAnsi="Arial" w:cs="Arial"/>
          <w:i/>
          <w:sz w:val="18"/>
          <w:szCs w:val="18"/>
        </w:rPr>
        <w:t xml:space="preserve">: </w:t>
      </w:r>
    </w:p>
    <w:p w:rsidR="005F0FAC" w:rsidRDefault="005F0FAC" w:rsidP="005F0FAC">
      <w:pPr>
        <w:spacing w:line="360" w:lineRule="auto"/>
        <w:ind w:left="2268"/>
        <w:jc w:val="both"/>
        <w:rPr>
          <w:rFonts w:ascii="Arial" w:hAnsi="Arial" w:cs="Arial"/>
          <w:i/>
          <w:sz w:val="18"/>
          <w:szCs w:val="18"/>
        </w:rPr>
      </w:pPr>
      <w:r>
        <w:rPr>
          <w:rFonts w:ascii="Arial" w:hAnsi="Arial" w:cs="Arial"/>
          <w:i/>
          <w:sz w:val="18"/>
          <w:szCs w:val="18"/>
        </w:rPr>
        <w:t>(...)</w:t>
      </w:r>
    </w:p>
    <w:p w:rsidR="005F0FAC" w:rsidRDefault="005F0FAC" w:rsidP="005F0FAC">
      <w:pPr>
        <w:spacing w:line="360" w:lineRule="auto"/>
        <w:ind w:left="2268"/>
        <w:jc w:val="both"/>
        <w:rPr>
          <w:rFonts w:ascii="Arial" w:hAnsi="Arial" w:cs="Arial"/>
          <w:i/>
          <w:sz w:val="18"/>
          <w:szCs w:val="18"/>
        </w:rPr>
      </w:pPr>
      <w:r>
        <w:rPr>
          <w:rFonts w:ascii="Arial" w:hAnsi="Arial" w:cs="Arial"/>
          <w:i/>
          <w:sz w:val="18"/>
          <w:szCs w:val="18"/>
        </w:rPr>
        <w:t>9.2.2.2.</w:t>
      </w:r>
      <w:r w:rsidRPr="00514142">
        <w:rPr>
          <w:rFonts w:ascii="Arial" w:hAnsi="Arial" w:cs="Arial"/>
          <w:b/>
          <w:i/>
          <w:sz w:val="18"/>
          <w:szCs w:val="18"/>
        </w:rPr>
        <w:t>utilização exclusiva na destinação prevista no art. 21, da Lei 11.494/2007, e na Constituição Federal, no art. 60 do ADCT;</w:t>
      </w:r>
      <w:r w:rsidRPr="00514142">
        <w:rPr>
          <w:rFonts w:ascii="Arial" w:hAnsi="Arial" w:cs="Arial"/>
          <w:i/>
          <w:sz w:val="18"/>
          <w:szCs w:val="18"/>
        </w:rPr>
        <w:t xml:space="preserve"> </w:t>
      </w:r>
    </w:p>
    <w:p w:rsidR="005F0FAC" w:rsidRDefault="005F0FAC" w:rsidP="005F0FAC">
      <w:pPr>
        <w:spacing w:line="360" w:lineRule="auto"/>
        <w:ind w:left="2268"/>
        <w:jc w:val="both"/>
        <w:rPr>
          <w:rFonts w:ascii="Arial" w:hAnsi="Arial" w:cs="Arial"/>
          <w:i/>
          <w:sz w:val="18"/>
          <w:szCs w:val="18"/>
        </w:rPr>
      </w:pPr>
      <w:r w:rsidRPr="00514142">
        <w:rPr>
          <w:rFonts w:ascii="Arial" w:hAnsi="Arial" w:cs="Arial"/>
          <w:i/>
          <w:sz w:val="18"/>
          <w:szCs w:val="18"/>
        </w:rPr>
        <w:t xml:space="preserve">9.2.3. </w:t>
      </w:r>
      <w:proofErr w:type="gramStart"/>
      <w:r w:rsidRPr="00514142">
        <w:rPr>
          <w:rFonts w:ascii="Arial" w:hAnsi="Arial" w:cs="Arial"/>
          <w:i/>
          <w:sz w:val="18"/>
          <w:szCs w:val="18"/>
        </w:rPr>
        <w:t>a</w:t>
      </w:r>
      <w:proofErr w:type="gramEnd"/>
      <w:r w:rsidRPr="00514142">
        <w:rPr>
          <w:rFonts w:ascii="Arial" w:hAnsi="Arial" w:cs="Arial"/>
          <w:i/>
          <w:sz w:val="18"/>
          <w:szCs w:val="18"/>
        </w:rPr>
        <w:t xml:space="preserve"> aplicação desses recursos fora da destinação, a que se refere o item 9.2.2.2 anterior, implica a imediata necessidade de recomposição do Erário, ensejando, à mingua da qual, a responsabilidade pessoal do gestor que deu causa ao desvio, na forma da Lei Orgânica do TCU;</w:t>
      </w:r>
    </w:p>
    <w:p w:rsidR="005F0FAC" w:rsidRDefault="005F0FAC" w:rsidP="005F0FAC">
      <w:pPr>
        <w:spacing w:line="360" w:lineRule="auto"/>
        <w:ind w:left="2268"/>
        <w:jc w:val="both"/>
        <w:rPr>
          <w:rFonts w:ascii="Arial" w:hAnsi="Arial" w:cs="Arial"/>
          <w:i/>
          <w:sz w:val="18"/>
          <w:szCs w:val="18"/>
        </w:rPr>
      </w:pPr>
      <w:r w:rsidRPr="00514142">
        <w:rPr>
          <w:rFonts w:ascii="Arial" w:hAnsi="Arial" w:cs="Arial"/>
          <w:i/>
          <w:sz w:val="18"/>
          <w:szCs w:val="18"/>
        </w:rPr>
        <w:t xml:space="preserve"> </w:t>
      </w:r>
      <w:r>
        <w:rPr>
          <w:rFonts w:ascii="Arial" w:hAnsi="Arial" w:cs="Arial"/>
          <w:i/>
          <w:sz w:val="18"/>
          <w:szCs w:val="18"/>
        </w:rPr>
        <w:t xml:space="preserve">9.2.4. </w:t>
      </w:r>
      <w:proofErr w:type="gramStart"/>
      <w:r w:rsidRPr="000E52BA">
        <w:rPr>
          <w:rFonts w:ascii="Arial" w:hAnsi="Arial" w:cs="Arial"/>
          <w:b/>
          <w:i/>
          <w:sz w:val="18"/>
          <w:szCs w:val="18"/>
        </w:rPr>
        <w:t>a</w:t>
      </w:r>
      <w:proofErr w:type="gramEnd"/>
      <w:r w:rsidRPr="000E52BA">
        <w:rPr>
          <w:rFonts w:ascii="Arial" w:hAnsi="Arial" w:cs="Arial"/>
          <w:b/>
          <w:i/>
          <w:sz w:val="18"/>
          <w:szCs w:val="18"/>
        </w:rPr>
        <w:t xml:space="preserve"> destinação de valores de precatórios relacionados a verbas do Fundef/</w:t>
      </w:r>
      <w:proofErr w:type="spellStart"/>
      <w:r w:rsidRPr="000E52BA">
        <w:rPr>
          <w:rFonts w:ascii="Arial" w:hAnsi="Arial" w:cs="Arial"/>
          <w:b/>
          <w:i/>
          <w:sz w:val="18"/>
          <w:szCs w:val="18"/>
        </w:rPr>
        <w:t>Fundeb</w:t>
      </w:r>
      <w:proofErr w:type="spellEnd"/>
      <w:r w:rsidRPr="000E52BA">
        <w:rPr>
          <w:rFonts w:ascii="Arial" w:hAnsi="Arial" w:cs="Arial"/>
          <w:b/>
          <w:i/>
          <w:sz w:val="18"/>
          <w:szCs w:val="18"/>
        </w:rPr>
        <w:t xml:space="preserve"> para o pagamento de honorários advocatícios é inconstitucional, por ser incompatível com o art. 60, do ADCT, com a redação conferida pela EC 14/1996, bem como é ilegal, por estar em desacordo com as disposições da Lei 11.494/2007;</w:t>
      </w:r>
    </w:p>
    <w:p w:rsidR="005F0FAC" w:rsidRPr="00514142" w:rsidRDefault="005F0FAC" w:rsidP="005F0FAC">
      <w:pPr>
        <w:spacing w:line="360" w:lineRule="auto"/>
        <w:ind w:left="2268"/>
        <w:jc w:val="both"/>
        <w:rPr>
          <w:rFonts w:ascii="Arial" w:hAnsi="Arial" w:cs="Arial"/>
          <w:b/>
          <w:sz w:val="18"/>
          <w:szCs w:val="18"/>
        </w:rPr>
      </w:pPr>
      <w:r w:rsidRPr="00514142">
        <w:rPr>
          <w:rFonts w:ascii="Arial" w:hAnsi="Arial" w:cs="Arial"/>
          <w:b/>
          <w:sz w:val="18"/>
          <w:szCs w:val="18"/>
        </w:rPr>
        <w:t>(grifos nossos).</w:t>
      </w:r>
    </w:p>
    <w:p w:rsidR="005F0FAC" w:rsidRDefault="005F0FAC" w:rsidP="005F0FAC">
      <w:pPr>
        <w:spacing w:line="360" w:lineRule="auto"/>
        <w:ind w:left="1418"/>
        <w:jc w:val="both"/>
        <w:rPr>
          <w:rFonts w:ascii="Arial" w:hAnsi="Arial" w:cs="Arial"/>
          <w:b/>
          <w:i/>
        </w:rPr>
      </w:pPr>
    </w:p>
    <w:p w:rsidR="005F0FAC" w:rsidRPr="00E93BB7" w:rsidRDefault="005F0FAC" w:rsidP="005F0FAC">
      <w:pPr>
        <w:spacing w:line="360" w:lineRule="auto"/>
        <w:ind w:firstLine="1418"/>
        <w:jc w:val="both"/>
        <w:rPr>
          <w:rFonts w:ascii="Arial" w:hAnsi="Arial" w:cs="Arial"/>
        </w:rPr>
      </w:pPr>
      <w:r>
        <w:rPr>
          <w:rFonts w:ascii="Arial" w:hAnsi="Arial" w:cs="Arial"/>
        </w:rPr>
        <w:t>Neste sentido, no âmbito do exercício da competência concorrente de fiscalização de tais recursos, reconhecida, inclusive, no Acórdão nº 1.962/2017-TCU, item 9.2.1.1 (</w:t>
      </w:r>
      <w:r>
        <w:rPr>
          <w:rFonts w:ascii="Arial" w:hAnsi="Arial" w:cs="Arial"/>
          <w:i/>
        </w:rPr>
        <w:t xml:space="preserve">“9.2.1.1. o entendimento firmado no item 9.2.1 do Acórdão 1824/2017-TCU-Plenário não afasta a competência concorrente dos demais Tribunais de Contas” – </w:t>
      </w:r>
      <w:r w:rsidRPr="000E52BA">
        <w:rPr>
          <w:rFonts w:ascii="Arial" w:hAnsi="Arial" w:cs="Arial"/>
        </w:rPr>
        <w:t xml:space="preserve">Processo </w:t>
      </w:r>
      <w:r>
        <w:rPr>
          <w:rFonts w:ascii="Arial" w:hAnsi="Arial" w:cs="Arial"/>
        </w:rPr>
        <w:t xml:space="preserve">TC 005.506/2017-4), </w:t>
      </w:r>
      <w:r w:rsidRPr="00E93BB7">
        <w:rPr>
          <w:rFonts w:ascii="Arial" w:hAnsi="Arial" w:cs="Arial"/>
          <w:b/>
          <w:u w:val="single"/>
        </w:rPr>
        <w:t>têm-se mostrado necessário para a efetiva fiscalização dos recurso</w:t>
      </w:r>
      <w:r w:rsidR="00DB67F6">
        <w:rPr>
          <w:rFonts w:ascii="Arial" w:hAnsi="Arial" w:cs="Arial"/>
          <w:b/>
          <w:u w:val="single"/>
        </w:rPr>
        <w:t>s</w:t>
      </w:r>
      <w:r w:rsidRPr="00E93BB7">
        <w:rPr>
          <w:rFonts w:ascii="Arial" w:hAnsi="Arial" w:cs="Arial"/>
          <w:b/>
          <w:u w:val="single"/>
        </w:rPr>
        <w:t xml:space="preserve"> em comento</w:t>
      </w:r>
      <w:r>
        <w:rPr>
          <w:rFonts w:ascii="Arial" w:hAnsi="Arial" w:cs="Arial"/>
        </w:rPr>
        <w:t xml:space="preserve"> o cumprimento do disposto no Acórdão nº 2.711-A/</w:t>
      </w:r>
      <w:proofErr w:type="gramStart"/>
      <w:r>
        <w:rPr>
          <w:rFonts w:ascii="Arial" w:hAnsi="Arial" w:cs="Arial"/>
        </w:rPr>
        <w:t>2017, em especial quanto aos itens a e b, tendo em vista a já explicitada</w:t>
      </w:r>
      <w:proofErr w:type="gramEnd"/>
      <w:r>
        <w:rPr>
          <w:rFonts w:ascii="Arial" w:hAnsi="Arial" w:cs="Arial"/>
        </w:rPr>
        <w:t xml:space="preserve"> divergência quanto à </w:t>
      </w:r>
      <w:proofErr w:type="spellStart"/>
      <w:r>
        <w:rPr>
          <w:rFonts w:ascii="Arial" w:hAnsi="Arial" w:cs="Arial"/>
        </w:rPr>
        <w:t>subvinculação</w:t>
      </w:r>
      <w:proofErr w:type="spellEnd"/>
      <w:r>
        <w:rPr>
          <w:rFonts w:ascii="Arial" w:hAnsi="Arial" w:cs="Arial"/>
        </w:rPr>
        <w:t xml:space="preserve"> dos 60% dos recursos aos profissionais dos magistérios, </w:t>
      </w:r>
      <w:r>
        <w:rPr>
          <w:rFonts w:ascii="Arial" w:hAnsi="Arial" w:cs="Arial"/>
        </w:rPr>
        <w:lastRenderedPageBreak/>
        <w:t xml:space="preserve">restando inquestionável no âmbito desta Corte a necessidade de </w:t>
      </w:r>
      <w:r w:rsidRPr="00E93BB7">
        <w:rPr>
          <w:rFonts w:ascii="Arial" w:hAnsi="Arial" w:cs="Arial"/>
        </w:rPr>
        <w:t xml:space="preserve">apresentação de um </w:t>
      </w:r>
      <w:r w:rsidRPr="00E93BB7">
        <w:rPr>
          <w:rFonts w:ascii="Arial" w:hAnsi="Arial" w:cs="Arial"/>
          <w:b/>
          <w:u w:val="single"/>
        </w:rPr>
        <w:t>Plano de Aplicação de Recursos</w:t>
      </w:r>
      <w:r w:rsidRPr="00E93BB7">
        <w:rPr>
          <w:rFonts w:ascii="Arial" w:hAnsi="Arial" w:cs="Arial"/>
        </w:rPr>
        <w:t>, em estrita observância a Decisão Normativa TCE nº. 27, para aplicação de 40% (quarenta por cento) dos valores recebidos pelo município a título de Precatórios Judiciais decorrentes de diferenças de repasses realizados ao antigo FUNDEF</w:t>
      </w:r>
      <w:r>
        <w:rPr>
          <w:rFonts w:ascii="Arial" w:hAnsi="Arial" w:cs="Arial"/>
        </w:rPr>
        <w:t xml:space="preserve"> e a </w:t>
      </w:r>
      <w:r w:rsidRPr="00E93BB7">
        <w:rPr>
          <w:rFonts w:ascii="Arial" w:hAnsi="Arial" w:cs="Arial"/>
          <w:b/>
          <w:u w:val="single"/>
        </w:rPr>
        <w:t>efetiva comprovação de autorização legislativa para a aplicação dos recursos citados na alínea “b”, mediante apresentação da Lei Orçamentária Municipal ou de Lei de Créditos Adicion</w:t>
      </w:r>
      <w:r>
        <w:rPr>
          <w:rFonts w:ascii="Arial" w:hAnsi="Arial" w:cs="Arial"/>
          <w:b/>
          <w:u w:val="single"/>
        </w:rPr>
        <w:t>ais Suplementares ou Especiais.</w:t>
      </w:r>
    </w:p>
    <w:p w:rsidR="005F0FAC" w:rsidRDefault="005F0FAC" w:rsidP="005F0FAC">
      <w:pPr>
        <w:ind w:firstLine="1418"/>
        <w:jc w:val="both"/>
        <w:rPr>
          <w:rFonts w:ascii="Arial" w:hAnsi="Arial" w:cs="Arial"/>
        </w:rPr>
      </w:pPr>
    </w:p>
    <w:p w:rsidR="005F0FAC" w:rsidRDefault="005F0FAC" w:rsidP="005F0FAC">
      <w:pPr>
        <w:spacing w:line="360" w:lineRule="auto"/>
        <w:ind w:firstLine="1418"/>
        <w:jc w:val="both"/>
        <w:rPr>
          <w:rFonts w:ascii="Arial" w:hAnsi="Arial" w:cs="Arial"/>
        </w:rPr>
      </w:pPr>
      <w:r>
        <w:rPr>
          <w:rFonts w:ascii="Arial" w:hAnsi="Arial" w:cs="Arial"/>
        </w:rPr>
        <w:t xml:space="preserve">Conforme já destacado, o Município ora representado, por ter recebido o recurso em comento após as Representações interpostas referentes aos exercícios de 2016 e 2017, de acordo com o levantamento realizado pela DFAM, não precisara demonstrar o cumprimento de tais requisitos para efetiva utilização dos recursos, ante a ausência de realização de bloqueio das contas, medida esta já aprovada anteriormente no Acórdão nº 2.711-A/2017, e a qual se faz necessária </w:t>
      </w:r>
      <w:proofErr w:type="gramStart"/>
      <w:r>
        <w:rPr>
          <w:rFonts w:ascii="Arial" w:hAnsi="Arial" w:cs="Arial"/>
        </w:rPr>
        <w:t>a</w:t>
      </w:r>
      <w:proofErr w:type="gramEnd"/>
      <w:r>
        <w:rPr>
          <w:rFonts w:ascii="Arial" w:hAnsi="Arial" w:cs="Arial"/>
        </w:rPr>
        <w:t xml:space="preserve"> repetição do pleito para fins de resguardo da fiscalização a ser realizada por esta Corte de Contas.</w:t>
      </w:r>
    </w:p>
    <w:p w:rsidR="005F0FAC" w:rsidRDefault="005F0FAC" w:rsidP="005F0FAC">
      <w:pPr>
        <w:ind w:firstLine="1418"/>
        <w:jc w:val="both"/>
        <w:rPr>
          <w:rFonts w:ascii="Arial" w:hAnsi="Arial" w:cs="Arial"/>
        </w:rPr>
      </w:pPr>
    </w:p>
    <w:p w:rsidR="005F0FAC" w:rsidRPr="00E93BB7" w:rsidRDefault="005F0FAC" w:rsidP="005F0FAC">
      <w:pPr>
        <w:spacing w:line="360" w:lineRule="auto"/>
        <w:ind w:firstLine="1418"/>
        <w:jc w:val="both"/>
        <w:rPr>
          <w:rFonts w:ascii="Arial" w:hAnsi="Arial" w:cs="Arial"/>
        </w:rPr>
      </w:pPr>
      <w:r>
        <w:rPr>
          <w:rFonts w:ascii="Arial" w:hAnsi="Arial" w:cs="Arial"/>
        </w:rPr>
        <w:t>Pelos motivos e com base nos fundamentos supracitados, apresenta-se a presente Representação com finalidade precípua de resguardar a adequada utilização de vultosas quantias, sendo de extrema importância a concessão de medida cautelar, ante o preenchimento dos requisitos autorizados desta, que passam a ser expostos.</w:t>
      </w:r>
    </w:p>
    <w:p w:rsidR="005F0FAC" w:rsidRDefault="005F0FAC" w:rsidP="005F0FAC">
      <w:pPr>
        <w:spacing w:line="360" w:lineRule="auto"/>
        <w:ind w:left="1418"/>
        <w:jc w:val="both"/>
        <w:rPr>
          <w:rFonts w:ascii="Arial" w:hAnsi="Arial" w:cs="Arial"/>
          <w:b/>
          <w:i/>
        </w:rPr>
      </w:pPr>
    </w:p>
    <w:p w:rsidR="005F0FAC" w:rsidRDefault="005F0FAC" w:rsidP="005F0FAC">
      <w:pPr>
        <w:spacing w:line="360" w:lineRule="auto"/>
        <w:ind w:left="1418"/>
        <w:jc w:val="both"/>
        <w:rPr>
          <w:rFonts w:ascii="Arial" w:hAnsi="Arial" w:cs="Arial"/>
          <w:b/>
          <w:i/>
        </w:rPr>
      </w:pPr>
    </w:p>
    <w:p w:rsidR="005F0FAC" w:rsidRDefault="005F0FAC" w:rsidP="005F0FAC">
      <w:pPr>
        <w:spacing w:line="360" w:lineRule="auto"/>
        <w:jc w:val="both"/>
        <w:rPr>
          <w:rFonts w:ascii="Arial" w:hAnsi="Arial" w:cs="Arial"/>
          <w:b/>
          <w:i/>
        </w:rPr>
      </w:pPr>
      <w:r>
        <w:rPr>
          <w:rFonts w:ascii="Arial" w:hAnsi="Arial" w:cs="Arial"/>
          <w:b/>
          <w:i/>
        </w:rPr>
        <w:t>I</w:t>
      </w:r>
      <w:r w:rsidRPr="00135DDD">
        <w:rPr>
          <w:rFonts w:ascii="Arial" w:hAnsi="Arial" w:cs="Arial"/>
          <w:b/>
          <w:i/>
        </w:rPr>
        <w:t xml:space="preserve">I – </w:t>
      </w:r>
      <w:r w:rsidRPr="00135DDD">
        <w:rPr>
          <w:rFonts w:ascii="Arial" w:hAnsi="Arial" w:cs="Arial"/>
          <w:b/>
          <w:i/>
          <w:u w:val="single"/>
        </w:rPr>
        <w:t>D</w:t>
      </w:r>
      <w:r>
        <w:rPr>
          <w:rFonts w:ascii="Arial" w:hAnsi="Arial" w:cs="Arial"/>
          <w:b/>
          <w:i/>
          <w:u w:val="single"/>
        </w:rPr>
        <w:t xml:space="preserve">O PROVIMENTO CAUTELAR </w:t>
      </w:r>
      <w:r w:rsidRPr="00434F71">
        <w:rPr>
          <w:rFonts w:ascii="Arial" w:hAnsi="Arial" w:cs="Arial"/>
          <w:b/>
          <w:i/>
          <w:u w:val="single"/>
        </w:rPr>
        <w:t>INAUDITA ALTERA PARS:</w:t>
      </w:r>
    </w:p>
    <w:p w:rsidR="005F0FAC" w:rsidRPr="00CE558A" w:rsidRDefault="005F0FAC" w:rsidP="005F0FAC">
      <w:pPr>
        <w:spacing w:line="360" w:lineRule="auto"/>
        <w:ind w:left="1418"/>
        <w:jc w:val="both"/>
        <w:rPr>
          <w:rFonts w:ascii="Arial" w:hAnsi="Arial" w:cs="Arial"/>
          <w:b/>
          <w:i/>
          <w:u w:val="single"/>
        </w:rPr>
      </w:pPr>
    </w:p>
    <w:p w:rsidR="005F0FAC" w:rsidRDefault="005F0FAC" w:rsidP="005F0FAC">
      <w:pPr>
        <w:autoSpaceDE w:val="0"/>
        <w:autoSpaceDN w:val="0"/>
        <w:adjustRightInd w:val="0"/>
        <w:spacing w:line="360" w:lineRule="auto"/>
        <w:ind w:firstLine="1418"/>
        <w:jc w:val="both"/>
        <w:rPr>
          <w:rFonts w:ascii="Arial" w:hAnsi="Arial" w:cs="Arial"/>
        </w:rPr>
      </w:pPr>
      <w:r>
        <w:rPr>
          <w:rFonts w:ascii="Arial" w:hAnsi="Arial" w:cs="Arial"/>
        </w:rPr>
        <w:t>A Constituição Federal</w:t>
      </w:r>
      <w:r>
        <w:rPr>
          <w:rStyle w:val="Refdenotaderodap"/>
          <w:rFonts w:ascii="Arial" w:hAnsi="Arial" w:cs="Arial"/>
        </w:rPr>
        <w:footnoteReference w:id="1"/>
      </w:r>
      <w:r w:rsidRPr="008C740B">
        <w:rPr>
          <w:rFonts w:ascii="Arial" w:hAnsi="Arial" w:cs="Arial"/>
        </w:rPr>
        <w:t>, ao especific</w:t>
      </w:r>
      <w:r>
        <w:rPr>
          <w:rFonts w:ascii="Arial" w:hAnsi="Arial" w:cs="Arial"/>
        </w:rPr>
        <w:t>ar a abrangência do controle externo</w:t>
      </w:r>
      <w:r w:rsidRPr="008C740B">
        <w:rPr>
          <w:rFonts w:ascii="Arial" w:hAnsi="Arial" w:cs="Arial"/>
        </w:rPr>
        <w:t>, tratou de</w:t>
      </w:r>
      <w:r>
        <w:rPr>
          <w:rFonts w:ascii="Arial" w:hAnsi="Arial" w:cs="Arial"/>
        </w:rPr>
        <w:t xml:space="preserve"> atribuir a</w:t>
      </w:r>
      <w:r w:rsidRPr="008C740B">
        <w:rPr>
          <w:rFonts w:ascii="Arial" w:hAnsi="Arial" w:cs="Arial"/>
        </w:rPr>
        <w:t>os Tribunais de Contas prerrogativas com</w:t>
      </w:r>
      <w:r>
        <w:rPr>
          <w:rFonts w:ascii="Arial" w:hAnsi="Arial" w:cs="Arial"/>
        </w:rPr>
        <w:t xml:space="preserve"> a dimensão adequada à relevância </w:t>
      </w:r>
      <w:r w:rsidRPr="008C740B">
        <w:rPr>
          <w:rFonts w:ascii="Arial" w:hAnsi="Arial" w:cs="Arial"/>
        </w:rPr>
        <w:t xml:space="preserve">de sua atuação para a efetivação </w:t>
      </w:r>
      <w:r>
        <w:rPr>
          <w:rFonts w:ascii="Arial" w:hAnsi="Arial" w:cs="Arial"/>
        </w:rPr>
        <w:t>do</w:t>
      </w:r>
      <w:r w:rsidRPr="008C740B">
        <w:rPr>
          <w:rFonts w:ascii="Arial" w:hAnsi="Arial" w:cs="Arial"/>
        </w:rPr>
        <w:t xml:space="preserve"> direito </w:t>
      </w:r>
      <w:r>
        <w:rPr>
          <w:rFonts w:ascii="Arial" w:hAnsi="Arial" w:cs="Arial"/>
        </w:rPr>
        <w:t xml:space="preserve">fundamental </w:t>
      </w:r>
      <w:r w:rsidRPr="008C740B">
        <w:rPr>
          <w:rFonts w:ascii="Arial" w:hAnsi="Arial" w:cs="Arial"/>
        </w:rPr>
        <w:t>do</w:t>
      </w:r>
      <w:r>
        <w:rPr>
          <w:rFonts w:ascii="Arial" w:hAnsi="Arial" w:cs="Arial"/>
        </w:rPr>
        <w:t>s</w:t>
      </w:r>
      <w:r w:rsidRPr="008C740B">
        <w:rPr>
          <w:rFonts w:ascii="Arial" w:hAnsi="Arial" w:cs="Arial"/>
        </w:rPr>
        <w:t xml:space="preserve"> cidadão</w:t>
      </w:r>
      <w:r>
        <w:rPr>
          <w:rFonts w:ascii="Arial" w:hAnsi="Arial" w:cs="Arial"/>
        </w:rPr>
        <w:t xml:space="preserve">s à prestação de contas por parte dos gestores públicos. </w:t>
      </w:r>
    </w:p>
    <w:p w:rsidR="005F0FAC" w:rsidRDefault="005F0FAC" w:rsidP="005F0FAC">
      <w:pPr>
        <w:ind w:firstLine="2280"/>
        <w:jc w:val="both"/>
        <w:rPr>
          <w:rFonts w:ascii="Arial" w:hAnsi="Arial" w:cs="Arial"/>
        </w:rPr>
      </w:pPr>
    </w:p>
    <w:p w:rsidR="005F0FAC" w:rsidRPr="00D6105D" w:rsidRDefault="005F0FAC" w:rsidP="005F0FAC">
      <w:pPr>
        <w:spacing w:line="360" w:lineRule="auto"/>
        <w:ind w:firstLine="1418"/>
        <w:jc w:val="both"/>
        <w:rPr>
          <w:rFonts w:ascii="Arial" w:hAnsi="Arial" w:cs="Arial"/>
        </w:rPr>
      </w:pPr>
      <w:r>
        <w:rPr>
          <w:rFonts w:ascii="Arial" w:hAnsi="Arial" w:cs="Arial"/>
        </w:rPr>
        <w:t>Nesse diapasão, e</w:t>
      </w:r>
      <w:r w:rsidRPr="00D6105D">
        <w:rPr>
          <w:rFonts w:ascii="Arial" w:hAnsi="Arial" w:cs="Arial"/>
        </w:rPr>
        <w:t xml:space="preserve">mbora a atuação dos Tribunais de Contas ocorra, </w:t>
      </w:r>
      <w:r>
        <w:rPr>
          <w:rFonts w:ascii="Arial" w:hAnsi="Arial" w:cs="Arial"/>
        </w:rPr>
        <w:t>em regra</w:t>
      </w:r>
      <w:r w:rsidRPr="00D6105D">
        <w:rPr>
          <w:rFonts w:ascii="Arial" w:hAnsi="Arial" w:cs="Arial"/>
        </w:rPr>
        <w:t>,</w:t>
      </w:r>
      <w:r w:rsidRPr="00D6105D">
        <w:rPr>
          <w:rFonts w:ascii="Arial" w:hAnsi="Arial" w:cs="Arial"/>
          <w:i/>
        </w:rPr>
        <w:t xml:space="preserve"> </w:t>
      </w:r>
      <w:r w:rsidRPr="00D6105D">
        <w:rPr>
          <w:rFonts w:ascii="Arial" w:hAnsi="Arial" w:cs="Arial"/>
        </w:rPr>
        <w:t xml:space="preserve">na forma de controle </w:t>
      </w:r>
      <w:r w:rsidRPr="00D6105D">
        <w:rPr>
          <w:rFonts w:ascii="Arial" w:hAnsi="Arial" w:cs="Arial"/>
          <w:i/>
        </w:rPr>
        <w:t xml:space="preserve">a posteriori </w:t>
      </w:r>
      <w:r w:rsidRPr="00D6105D">
        <w:rPr>
          <w:rFonts w:ascii="Arial" w:hAnsi="Arial" w:cs="Arial"/>
        </w:rPr>
        <w:t>dos atos</w:t>
      </w:r>
      <w:r>
        <w:rPr>
          <w:rFonts w:ascii="Arial" w:hAnsi="Arial" w:cs="Arial"/>
        </w:rPr>
        <w:t xml:space="preserve"> administrativos</w:t>
      </w:r>
      <w:r w:rsidRPr="00D6105D">
        <w:rPr>
          <w:rFonts w:ascii="Arial" w:hAnsi="Arial" w:cs="Arial"/>
        </w:rPr>
        <w:t>, é cediço que, com vistas a</w:t>
      </w:r>
      <w:r>
        <w:rPr>
          <w:rFonts w:ascii="Arial" w:hAnsi="Arial" w:cs="Arial"/>
        </w:rPr>
        <w:t xml:space="preserve"> cumprir a missão outorgada</w:t>
      </w:r>
      <w:r w:rsidRPr="00D6105D">
        <w:rPr>
          <w:rFonts w:ascii="Arial" w:hAnsi="Arial" w:cs="Arial"/>
        </w:rPr>
        <w:t xml:space="preserve"> pelas Constituições Federal e Estadual e Lei Orgânica respectiva, a referida Corte pode (e deve) atuar de modo pre</w:t>
      </w:r>
      <w:r>
        <w:rPr>
          <w:rFonts w:ascii="Arial" w:hAnsi="Arial" w:cs="Arial"/>
        </w:rPr>
        <w:t>ventivo impedindo a prática de atos ilegais que possam vir causar danos ao erário.</w:t>
      </w:r>
    </w:p>
    <w:p w:rsidR="005F0FAC" w:rsidRPr="00D6105D" w:rsidRDefault="005F0FAC" w:rsidP="005F0FAC">
      <w:pPr>
        <w:ind w:firstLine="2340"/>
        <w:jc w:val="both"/>
        <w:rPr>
          <w:rFonts w:ascii="Arial" w:hAnsi="Arial" w:cs="Arial"/>
        </w:rPr>
      </w:pPr>
    </w:p>
    <w:p w:rsidR="005F0FAC" w:rsidRPr="00D6105D" w:rsidRDefault="005F0FAC" w:rsidP="005F0FAC">
      <w:pPr>
        <w:spacing w:line="360" w:lineRule="auto"/>
        <w:ind w:firstLine="1418"/>
        <w:jc w:val="both"/>
        <w:rPr>
          <w:rFonts w:ascii="Arial" w:hAnsi="Arial" w:cs="Arial"/>
        </w:rPr>
      </w:pPr>
      <w:r w:rsidRPr="00D6105D">
        <w:rPr>
          <w:rFonts w:ascii="Arial" w:hAnsi="Arial" w:cs="Arial"/>
        </w:rPr>
        <w:lastRenderedPageBreak/>
        <w:t>Oportunamente, no Mandado de Segurança nº 24.510-DF (2003), o STF assentou tal entendimento, o que é evidenciado no voto do Ministro Celso de Mello:</w:t>
      </w:r>
    </w:p>
    <w:p w:rsidR="005F0FAC" w:rsidRPr="00D6105D" w:rsidRDefault="005F0FAC" w:rsidP="005F0FAC">
      <w:pPr>
        <w:ind w:firstLine="2340"/>
        <w:jc w:val="both"/>
        <w:rPr>
          <w:rFonts w:ascii="Arial" w:hAnsi="Arial" w:cs="Arial"/>
        </w:rPr>
      </w:pPr>
    </w:p>
    <w:p w:rsidR="005F0FAC" w:rsidRPr="00484359" w:rsidRDefault="005F0FAC" w:rsidP="005F0FAC">
      <w:pPr>
        <w:spacing w:line="360" w:lineRule="auto"/>
        <w:ind w:left="2880"/>
        <w:jc w:val="both"/>
        <w:rPr>
          <w:rFonts w:ascii="Arial" w:hAnsi="Arial" w:cs="Arial"/>
          <w:sz w:val="18"/>
        </w:rPr>
      </w:pPr>
      <w:r w:rsidRPr="00D6105D">
        <w:rPr>
          <w:rFonts w:ascii="Arial" w:hAnsi="Arial" w:cs="Arial"/>
          <w:i/>
          <w:sz w:val="18"/>
        </w:rPr>
        <w:t>“</w:t>
      </w:r>
      <w:r w:rsidRPr="00484359">
        <w:rPr>
          <w:rFonts w:ascii="Arial" w:hAnsi="Arial" w:cs="Arial"/>
          <w:sz w:val="18"/>
        </w:rPr>
        <w:t xml:space="preserve">Isso significa que a atribuição de poderes explícitos, ao Tribunal de Contas, tais como enunciados no art. 71 da Lei Fundamental da república, supõe que se lhe reconheça, ainda que por </w:t>
      </w:r>
      <w:proofErr w:type="spellStart"/>
      <w:r w:rsidRPr="00484359">
        <w:rPr>
          <w:rFonts w:ascii="Arial" w:hAnsi="Arial" w:cs="Arial"/>
          <w:sz w:val="18"/>
        </w:rPr>
        <w:t>implicitude</w:t>
      </w:r>
      <w:proofErr w:type="spellEnd"/>
      <w:r w:rsidRPr="00484359">
        <w:rPr>
          <w:rFonts w:ascii="Arial" w:hAnsi="Arial" w:cs="Arial"/>
          <w:sz w:val="18"/>
        </w:rPr>
        <w:t>, a titularidade de meios destinados a viabilizar a adoção de medidas cautelares vocacionadas a conferir real efetividade ás suas deliberações finais, permitindo, assim, que se neutralizem situações de lesividade, atual ou iminente, ao erário público.”</w:t>
      </w:r>
    </w:p>
    <w:p w:rsidR="005F0FAC" w:rsidRPr="00484359" w:rsidRDefault="005F0FAC" w:rsidP="005F0FAC">
      <w:pPr>
        <w:spacing w:line="360" w:lineRule="auto"/>
        <w:ind w:left="2835"/>
        <w:jc w:val="both"/>
        <w:rPr>
          <w:rFonts w:ascii="Arial" w:hAnsi="Arial" w:cs="Arial"/>
          <w:sz w:val="18"/>
          <w:szCs w:val="18"/>
        </w:rPr>
      </w:pPr>
      <w:r w:rsidRPr="00484359">
        <w:rPr>
          <w:rFonts w:ascii="Arial" w:hAnsi="Arial" w:cs="Arial"/>
          <w:sz w:val="18"/>
        </w:rPr>
        <w:t xml:space="preserve">(PASCOAL, Valdecir. </w:t>
      </w:r>
      <w:r w:rsidRPr="00484359">
        <w:rPr>
          <w:rFonts w:ascii="Arial" w:hAnsi="Arial" w:cs="Arial"/>
          <w:b/>
          <w:sz w:val="18"/>
        </w:rPr>
        <w:t>O poder cautelar dos Tribunais de Contas</w:t>
      </w:r>
      <w:r w:rsidRPr="00484359">
        <w:rPr>
          <w:rFonts w:ascii="Arial" w:hAnsi="Arial" w:cs="Arial"/>
          <w:sz w:val="18"/>
        </w:rPr>
        <w:t>. Revista</w:t>
      </w:r>
      <w:r w:rsidRPr="00484359">
        <w:rPr>
          <w:rFonts w:ascii="Arial" w:hAnsi="Arial" w:cs="Arial"/>
          <w:b/>
          <w:sz w:val="18"/>
        </w:rPr>
        <w:t xml:space="preserve"> </w:t>
      </w:r>
      <w:r w:rsidRPr="00484359">
        <w:rPr>
          <w:rFonts w:ascii="Arial" w:hAnsi="Arial" w:cs="Arial"/>
          <w:sz w:val="18"/>
        </w:rPr>
        <w:t>do Tribunal de Contas da União, ano 41, nº 115, maio/agosto 2009, p.110)</w:t>
      </w:r>
      <w:proofErr w:type="gramStart"/>
      <w:r>
        <w:rPr>
          <w:rFonts w:ascii="Arial" w:hAnsi="Arial" w:cs="Arial"/>
          <w:sz w:val="18"/>
        </w:rPr>
        <w:t xml:space="preserve">  </w:t>
      </w:r>
      <w:proofErr w:type="gramEnd"/>
      <w:r>
        <w:rPr>
          <w:rFonts w:ascii="Arial" w:hAnsi="Arial" w:cs="Arial"/>
          <w:sz w:val="18"/>
          <w:szCs w:val="18"/>
        </w:rPr>
        <w:t>(grifos aditados)</w:t>
      </w:r>
    </w:p>
    <w:p w:rsidR="005F0FAC" w:rsidRPr="00484359" w:rsidRDefault="005F0FAC" w:rsidP="005F0FAC">
      <w:pPr>
        <w:spacing w:line="360" w:lineRule="auto"/>
        <w:ind w:left="2880"/>
        <w:jc w:val="both"/>
        <w:rPr>
          <w:rFonts w:ascii="Arial" w:hAnsi="Arial" w:cs="Arial"/>
          <w:sz w:val="18"/>
        </w:rPr>
      </w:pPr>
    </w:p>
    <w:p w:rsidR="005F0FAC" w:rsidRPr="00D6105D" w:rsidRDefault="005F0FAC" w:rsidP="005F0FAC">
      <w:pPr>
        <w:spacing w:line="360" w:lineRule="auto"/>
        <w:ind w:left="2880"/>
        <w:jc w:val="both"/>
        <w:rPr>
          <w:rFonts w:ascii="Arial" w:hAnsi="Arial" w:cs="Arial"/>
          <w:i/>
          <w:sz w:val="18"/>
        </w:rPr>
      </w:pPr>
    </w:p>
    <w:p w:rsidR="005F0FAC" w:rsidRDefault="005F0FAC" w:rsidP="005F0FAC">
      <w:pPr>
        <w:spacing w:line="360" w:lineRule="auto"/>
        <w:ind w:right="49" w:firstLine="851"/>
        <w:jc w:val="both"/>
        <w:rPr>
          <w:rFonts w:ascii="Arial" w:hAnsi="Arial" w:cs="Arial"/>
        </w:rPr>
      </w:pPr>
      <w:r>
        <w:rPr>
          <w:rFonts w:ascii="Arial" w:hAnsi="Arial" w:cs="Arial"/>
        </w:rPr>
        <w:t>Nesse particular, o Pretório Excelso,</w:t>
      </w:r>
      <w:r w:rsidRPr="00537A86">
        <w:rPr>
          <w:rFonts w:ascii="Arial" w:hAnsi="Arial" w:cs="Arial"/>
        </w:rPr>
        <w:t xml:space="preserve"> </w:t>
      </w:r>
      <w:r>
        <w:rPr>
          <w:rFonts w:ascii="Arial" w:hAnsi="Arial" w:cs="Arial"/>
        </w:rPr>
        <w:t xml:space="preserve">recentemente, ratificou a </w:t>
      </w:r>
      <w:r w:rsidRPr="00290A76">
        <w:rPr>
          <w:rFonts w:ascii="Arial" w:hAnsi="Arial" w:cs="Arial"/>
        </w:rPr>
        <w:t>legitimidade e a competência constitucional e legal do</w:t>
      </w:r>
      <w:r>
        <w:rPr>
          <w:rFonts w:ascii="Arial" w:hAnsi="Arial" w:cs="Arial"/>
        </w:rPr>
        <w:t>s</w:t>
      </w:r>
      <w:r w:rsidRPr="00290A76">
        <w:rPr>
          <w:rFonts w:ascii="Arial" w:hAnsi="Arial" w:cs="Arial"/>
        </w:rPr>
        <w:t xml:space="preserve"> Tribuna</w:t>
      </w:r>
      <w:r>
        <w:rPr>
          <w:rFonts w:ascii="Arial" w:hAnsi="Arial" w:cs="Arial"/>
        </w:rPr>
        <w:t>is</w:t>
      </w:r>
      <w:r w:rsidRPr="00290A76">
        <w:rPr>
          <w:rFonts w:ascii="Arial" w:hAnsi="Arial" w:cs="Arial"/>
        </w:rPr>
        <w:t xml:space="preserve"> de Contas para expedir</w:t>
      </w:r>
      <w:r>
        <w:rPr>
          <w:rFonts w:ascii="Arial" w:hAnsi="Arial" w:cs="Arial"/>
        </w:rPr>
        <w:t xml:space="preserve"> medidas cautelares visando o</w:t>
      </w:r>
      <w:r w:rsidRPr="00290A76">
        <w:rPr>
          <w:rFonts w:ascii="Arial" w:hAnsi="Arial" w:cs="Arial"/>
        </w:rPr>
        <w:t xml:space="preserve"> </w:t>
      </w:r>
      <w:r>
        <w:rPr>
          <w:rFonts w:ascii="Arial" w:hAnsi="Arial" w:cs="Arial"/>
        </w:rPr>
        <w:t>bloqueio de contas, inclusive contas pessoais do gestor público,</w:t>
      </w:r>
      <w:r w:rsidRPr="00290A76">
        <w:rPr>
          <w:rFonts w:ascii="Arial" w:hAnsi="Arial" w:cs="Arial"/>
        </w:rPr>
        <w:t xml:space="preserve"> </w:t>
      </w:r>
      <w:r>
        <w:rPr>
          <w:rFonts w:ascii="Arial" w:hAnsi="Arial" w:cs="Arial"/>
        </w:rPr>
        <w:t xml:space="preserve">com objetivo de </w:t>
      </w:r>
      <w:r w:rsidRPr="00290A76">
        <w:rPr>
          <w:rFonts w:ascii="Arial" w:hAnsi="Arial" w:cs="Arial"/>
        </w:rPr>
        <w:t>prevenir lesão ao erário e garantir a efetividade de suas decisões</w:t>
      </w:r>
      <w:r>
        <w:rPr>
          <w:rFonts w:ascii="Arial" w:hAnsi="Arial" w:cs="Arial"/>
        </w:rPr>
        <w:t xml:space="preserve">. </w:t>
      </w:r>
      <w:r w:rsidRPr="004968CC">
        <w:rPr>
          <w:rFonts w:ascii="Arial" w:hAnsi="Arial" w:cs="Arial"/>
        </w:rPr>
        <w:t xml:space="preserve">Esse é o entendimento que se deflui do </w:t>
      </w:r>
      <w:r>
        <w:rPr>
          <w:rFonts w:ascii="Arial" w:hAnsi="Arial" w:cs="Arial"/>
        </w:rPr>
        <w:t xml:space="preserve">julgamento da Medida Cautelar na Suspensão da Segurança </w:t>
      </w:r>
      <w:r w:rsidRPr="002F32D9">
        <w:rPr>
          <w:rFonts w:ascii="Arial" w:hAnsi="Arial" w:cs="Arial"/>
          <w:b/>
        </w:rPr>
        <w:t>SS</w:t>
      </w:r>
      <w:r w:rsidRPr="002A792D">
        <w:rPr>
          <w:rFonts w:ascii="Arial" w:hAnsi="Arial" w:cs="Arial"/>
          <w:b/>
          <w:bCs/>
        </w:rPr>
        <w:t>4878 RN</w:t>
      </w:r>
      <w:r>
        <w:rPr>
          <w:rStyle w:val="Refdenotaderodap"/>
          <w:rFonts w:ascii="Arial" w:hAnsi="Arial" w:cs="Arial"/>
        </w:rPr>
        <w:footnoteReference w:id="2"/>
      </w:r>
      <w:r>
        <w:rPr>
          <w:rFonts w:ascii="Arial" w:hAnsi="Arial" w:cs="Arial"/>
        </w:rPr>
        <w:t xml:space="preserve"> (2014),</w:t>
      </w:r>
      <w:r w:rsidRPr="004968CC">
        <w:rPr>
          <w:rFonts w:ascii="Arial" w:hAnsi="Arial" w:cs="Arial"/>
        </w:rPr>
        <w:t xml:space="preserve"> </w:t>
      </w:r>
      <w:r>
        <w:rPr>
          <w:rFonts w:ascii="Arial" w:hAnsi="Arial" w:cs="Arial"/>
        </w:rPr>
        <w:t xml:space="preserve">da </w:t>
      </w:r>
      <w:r w:rsidRPr="004968CC">
        <w:rPr>
          <w:rFonts w:ascii="Arial" w:hAnsi="Arial" w:cs="Arial"/>
        </w:rPr>
        <w:t>relator</w:t>
      </w:r>
      <w:r>
        <w:rPr>
          <w:rFonts w:ascii="Arial" w:hAnsi="Arial" w:cs="Arial"/>
        </w:rPr>
        <w:t>i</w:t>
      </w:r>
      <w:r w:rsidRPr="004968CC">
        <w:rPr>
          <w:rFonts w:ascii="Arial" w:hAnsi="Arial" w:cs="Arial"/>
        </w:rPr>
        <w:t xml:space="preserve">a </w:t>
      </w:r>
      <w:r>
        <w:rPr>
          <w:rFonts w:ascii="Arial" w:hAnsi="Arial" w:cs="Arial"/>
        </w:rPr>
        <w:t xml:space="preserve">do </w:t>
      </w:r>
      <w:r w:rsidRPr="004968CC">
        <w:rPr>
          <w:rFonts w:ascii="Arial" w:hAnsi="Arial" w:cs="Arial"/>
        </w:rPr>
        <w:t>Ministr</w:t>
      </w:r>
      <w:r>
        <w:rPr>
          <w:rFonts w:ascii="Arial" w:hAnsi="Arial" w:cs="Arial"/>
        </w:rPr>
        <w:t>o</w:t>
      </w:r>
      <w:r w:rsidRPr="004968CC">
        <w:rPr>
          <w:rFonts w:ascii="Arial" w:hAnsi="Arial" w:cs="Arial"/>
        </w:rPr>
        <w:t xml:space="preserve"> </w:t>
      </w:r>
      <w:r w:rsidRPr="00290A76">
        <w:rPr>
          <w:rFonts w:ascii="Arial" w:hAnsi="Arial" w:cs="Arial"/>
        </w:rPr>
        <w:t>Joaquim Barbosa</w:t>
      </w:r>
      <w:r>
        <w:rPr>
          <w:rFonts w:ascii="Arial" w:hAnsi="Arial" w:cs="Arial"/>
        </w:rPr>
        <w:t xml:space="preserve">, julgada no dia 14/03/2014 (doc. 03). </w:t>
      </w:r>
    </w:p>
    <w:p w:rsidR="005F0FAC" w:rsidRPr="002A792D" w:rsidRDefault="005F0FAC" w:rsidP="005F0FAC">
      <w:pPr>
        <w:spacing w:line="360" w:lineRule="auto"/>
        <w:ind w:right="49" w:firstLine="851"/>
        <w:jc w:val="both"/>
        <w:rPr>
          <w:rFonts w:ascii="Arial" w:hAnsi="Arial" w:cs="Arial"/>
          <w:b/>
          <w:bCs/>
        </w:rPr>
      </w:pPr>
    </w:p>
    <w:p w:rsidR="005F0FAC" w:rsidRPr="00D6105D" w:rsidRDefault="005F0FAC" w:rsidP="005F0FAC">
      <w:pPr>
        <w:spacing w:line="360" w:lineRule="auto"/>
        <w:ind w:firstLine="1418"/>
        <w:jc w:val="both"/>
        <w:rPr>
          <w:rFonts w:ascii="Arial" w:hAnsi="Arial" w:cs="Arial"/>
        </w:rPr>
      </w:pPr>
      <w:r>
        <w:rPr>
          <w:rFonts w:ascii="Arial" w:hAnsi="Arial" w:cs="Arial"/>
        </w:rPr>
        <w:t>Atente-se, por relevante, que a</w:t>
      </w:r>
      <w:r w:rsidRPr="00D6105D">
        <w:rPr>
          <w:rFonts w:ascii="Arial" w:hAnsi="Arial" w:cs="Arial"/>
        </w:rPr>
        <w:t xml:space="preserve"> Lei nº 5.888/09 (</w:t>
      </w:r>
      <w:r w:rsidRPr="00D6105D">
        <w:rPr>
          <w:rFonts w:ascii="Arial" w:hAnsi="Arial" w:cs="Arial"/>
          <w:i/>
        </w:rPr>
        <w:t>Lei Orgânica do Tribunal de Contas do Estado do Piauí</w:t>
      </w:r>
      <w:r w:rsidRPr="00D6105D">
        <w:rPr>
          <w:rFonts w:ascii="Arial" w:hAnsi="Arial" w:cs="Arial"/>
        </w:rPr>
        <w:t xml:space="preserve">) prevê, expressamente, a possibilidade de o Tribunal de Contas fazer uso de </w:t>
      </w:r>
      <w:r w:rsidRPr="00B71707">
        <w:rPr>
          <w:rFonts w:ascii="Arial" w:hAnsi="Arial" w:cs="Arial"/>
          <w:b/>
        </w:rPr>
        <w:t>medidas cautelares</w:t>
      </w:r>
      <w:r w:rsidRPr="00D6105D">
        <w:rPr>
          <w:rFonts w:ascii="Arial" w:hAnsi="Arial" w:cs="Arial"/>
        </w:rPr>
        <w:t xml:space="preserve"> no </w:t>
      </w:r>
      <w:r>
        <w:rPr>
          <w:rFonts w:ascii="Arial" w:hAnsi="Arial" w:cs="Arial"/>
        </w:rPr>
        <w:t>controle externo da Administração Pública</w:t>
      </w:r>
      <w:r w:rsidRPr="00D6105D">
        <w:rPr>
          <w:rFonts w:ascii="Arial" w:hAnsi="Arial" w:cs="Arial"/>
        </w:rPr>
        <w:t xml:space="preserve">. Assim </w:t>
      </w:r>
      <w:r>
        <w:rPr>
          <w:rFonts w:ascii="Arial" w:hAnsi="Arial" w:cs="Arial"/>
        </w:rPr>
        <w:t>preceitua</w:t>
      </w:r>
      <w:r w:rsidRPr="00D6105D">
        <w:rPr>
          <w:rFonts w:ascii="Arial" w:hAnsi="Arial" w:cs="Arial"/>
        </w:rPr>
        <w:t xml:space="preserve"> a citada lei</w:t>
      </w:r>
      <w:r>
        <w:rPr>
          <w:rFonts w:ascii="Arial" w:hAnsi="Arial" w:cs="Arial"/>
        </w:rPr>
        <w:t xml:space="preserve">, </w:t>
      </w:r>
      <w:r w:rsidRPr="00484359">
        <w:rPr>
          <w:rFonts w:ascii="Arial" w:hAnsi="Arial" w:cs="Arial"/>
          <w:i/>
        </w:rPr>
        <w:t>litteris</w:t>
      </w:r>
      <w:r>
        <w:rPr>
          <w:rFonts w:ascii="Arial" w:hAnsi="Arial" w:cs="Arial"/>
        </w:rPr>
        <w:t>:</w:t>
      </w:r>
    </w:p>
    <w:p w:rsidR="005F0FAC" w:rsidRPr="006628D6" w:rsidRDefault="005F0FAC" w:rsidP="005F0FAC">
      <w:pPr>
        <w:spacing w:line="360" w:lineRule="auto"/>
        <w:ind w:left="2880"/>
        <w:jc w:val="both"/>
        <w:rPr>
          <w:rFonts w:ascii="Arial" w:hAnsi="Arial" w:cs="Arial"/>
          <w:i/>
          <w:sz w:val="18"/>
        </w:rPr>
      </w:pPr>
    </w:p>
    <w:p w:rsidR="005F0FAC" w:rsidRPr="00484359" w:rsidRDefault="005F0FAC" w:rsidP="005F0FAC">
      <w:pPr>
        <w:spacing w:line="360" w:lineRule="auto"/>
        <w:ind w:left="2835"/>
        <w:jc w:val="both"/>
        <w:rPr>
          <w:rFonts w:ascii="Arial" w:hAnsi="Arial" w:cs="Arial"/>
          <w:sz w:val="18"/>
          <w:szCs w:val="18"/>
        </w:rPr>
      </w:pPr>
      <w:r w:rsidRPr="00484359">
        <w:rPr>
          <w:rFonts w:ascii="Arial" w:hAnsi="Arial" w:cs="Arial"/>
          <w:sz w:val="18"/>
        </w:rPr>
        <w:t xml:space="preserve">Art. 87. O Relator ou o Plenário, em caso de urgência, de fundado receio de grave lesão ao erário ou a direito alheio, dou de risco de ineficácia da decisão de mérito, poderá, de ofício ou mediante provocação, adotar </w:t>
      </w:r>
      <w:r w:rsidRPr="00484359">
        <w:rPr>
          <w:rFonts w:ascii="Arial" w:hAnsi="Arial" w:cs="Arial"/>
          <w:b/>
          <w:sz w:val="18"/>
        </w:rPr>
        <w:t>medida cautelar, com ou sem a prévia oitiva da parte</w:t>
      </w:r>
      <w:r w:rsidRPr="00484359">
        <w:rPr>
          <w:rFonts w:ascii="Arial" w:hAnsi="Arial" w:cs="Arial"/>
          <w:sz w:val="18"/>
        </w:rPr>
        <w:t>, determinando, entre outras providências, a suspensão do ato ou do procedimento impugnado, até que o Tribunal decida sobre o mérito da questão suscitada.</w:t>
      </w:r>
      <w:r>
        <w:rPr>
          <w:rFonts w:ascii="Arial" w:hAnsi="Arial" w:cs="Arial"/>
          <w:sz w:val="18"/>
        </w:rPr>
        <w:t xml:space="preserve"> </w:t>
      </w:r>
      <w:r>
        <w:rPr>
          <w:rFonts w:ascii="Arial" w:hAnsi="Arial" w:cs="Arial"/>
          <w:sz w:val="18"/>
          <w:szCs w:val="18"/>
        </w:rPr>
        <w:t>(grifos aditados)</w:t>
      </w:r>
    </w:p>
    <w:p w:rsidR="005F0FAC" w:rsidRDefault="005F0FAC" w:rsidP="005F0FAC">
      <w:pPr>
        <w:jc w:val="both"/>
        <w:rPr>
          <w:rFonts w:ascii="Arial" w:hAnsi="Arial" w:cs="Arial"/>
          <w:i/>
          <w:sz w:val="18"/>
        </w:rPr>
      </w:pPr>
    </w:p>
    <w:p w:rsidR="005F0FAC" w:rsidRDefault="005F0FAC" w:rsidP="005F0FAC">
      <w:pPr>
        <w:spacing w:line="360" w:lineRule="auto"/>
        <w:ind w:firstLine="1418"/>
        <w:jc w:val="both"/>
        <w:rPr>
          <w:rFonts w:ascii="Arial" w:hAnsi="Arial" w:cs="Arial"/>
        </w:rPr>
      </w:pPr>
      <w:r w:rsidRPr="000F58F8">
        <w:rPr>
          <w:rFonts w:ascii="Arial" w:hAnsi="Arial" w:cs="Arial"/>
        </w:rPr>
        <w:t xml:space="preserve">Nesse mesmo </w:t>
      </w:r>
      <w:r>
        <w:rPr>
          <w:rFonts w:ascii="Arial" w:hAnsi="Arial" w:cs="Arial"/>
        </w:rPr>
        <w:t xml:space="preserve">sentido, vejamos </w:t>
      </w:r>
      <w:r w:rsidRPr="006628D6">
        <w:rPr>
          <w:rFonts w:ascii="Arial" w:hAnsi="Arial" w:cs="Arial"/>
        </w:rPr>
        <w:t>o art. 459</w:t>
      </w:r>
      <w:r w:rsidRPr="000F58F8">
        <w:rPr>
          <w:rFonts w:ascii="Arial" w:hAnsi="Arial" w:cs="Arial"/>
        </w:rPr>
        <w:t xml:space="preserve"> da Res. TCE/PI nº 13/11 (Regime</w:t>
      </w:r>
      <w:r>
        <w:rPr>
          <w:rFonts w:ascii="Arial" w:hAnsi="Arial" w:cs="Arial"/>
        </w:rPr>
        <w:t>nto</w:t>
      </w:r>
      <w:r w:rsidRPr="000F58F8">
        <w:rPr>
          <w:rFonts w:ascii="Arial" w:hAnsi="Arial" w:cs="Arial"/>
        </w:rPr>
        <w:t xml:space="preserve"> Interno do TCE)</w:t>
      </w:r>
      <w:r>
        <w:rPr>
          <w:rFonts w:ascii="Arial" w:hAnsi="Arial" w:cs="Arial"/>
        </w:rPr>
        <w:t xml:space="preserve">, que </w:t>
      </w:r>
      <w:proofErr w:type="gramStart"/>
      <w:r>
        <w:rPr>
          <w:rFonts w:ascii="Arial" w:hAnsi="Arial" w:cs="Arial"/>
        </w:rPr>
        <w:t>dispõe,</w:t>
      </w:r>
      <w:proofErr w:type="gramEnd"/>
      <w:r>
        <w:rPr>
          <w:rFonts w:ascii="Arial" w:hAnsi="Arial" w:cs="Arial"/>
        </w:rPr>
        <w:t xml:space="preserve"> </w:t>
      </w:r>
      <w:proofErr w:type="spellStart"/>
      <w:r w:rsidRPr="00905127">
        <w:rPr>
          <w:rFonts w:ascii="Arial" w:hAnsi="Arial" w:cs="Arial"/>
          <w:i/>
        </w:rPr>
        <w:t>verbis</w:t>
      </w:r>
      <w:proofErr w:type="spellEnd"/>
      <w:r w:rsidRPr="000F58F8">
        <w:rPr>
          <w:rFonts w:ascii="Arial" w:hAnsi="Arial" w:cs="Arial"/>
        </w:rPr>
        <w:t>:</w:t>
      </w:r>
    </w:p>
    <w:p w:rsidR="005F0FAC" w:rsidRDefault="005F0FAC" w:rsidP="005F0FAC">
      <w:pPr>
        <w:jc w:val="both"/>
        <w:rPr>
          <w:rFonts w:ascii="Arial" w:hAnsi="Arial" w:cs="Arial"/>
        </w:rPr>
      </w:pPr>
    </w:p>
    <w:p w:rsidR="005F0FAC" w:rsidRDefault="005F0FAC" w:rsidP="005F0FAC">
      <w:pPr>
        <w:spacing w:line="360" w:lineRule="auto"/>
        <w:ind w:left="2835"/>
        <w:jc w:val="both"/>
        <w:rPr>
          <w:rFonts w:ascii="Arial" w:hAnsi="Arial" w:cs="Arial"/>
          <w:sz w:val="18"/>
          <w:szCs w:val="18"/>
        </w:rPr>
      </w:pPr>
      <w:r>
        <w:rPr>
          <w:rFonts w:ascii="Arial" w:hAnsi="Arial" w:cs="Arial"/>
          <w:sz w:val="18"/>
          <w:szCs w:val="18"/>
        </w:rPr>
        <w:t xml:space="preserve">Art. 459. </w:t>
      </w:r>
      <w:r w:rsidRPr="00484359">
        <w:rPr>
          <w:rFonts w:ascii="Arial" w:hAnsi="Arial" w:cs="Arial"/>
          <w:sz w:val="18"/>
          <w:szCs w:val="18"/>
        </w:rPr>
        <w:t xml:space="preserve">Em caso de urgência, de fundado receio de grave lesão ao erário ou de direito alheio, de risco de ineficácia da decisão de mérito, ou diante </w:t>
      </w:r>
      <w:r w:rsidRPr="00484359">
        <w:rPr>
          <w:rFonts w:ascii="Arial" w:hAnsi="Arial" w:cs="Arial"/>
          <w:sz w:val="18"/>
          <w:szCs w:val="18"/>
        </w:rPr>
        <w:lastRenderedPageBreak/>
        <w:t xml:space="preserve">situação específica que possa causar dano irreparável ou de difícil reparação para o interesse e/ou para o patrimônio público, além do que está previsto no art. 458, o relator ou o Plenário poderá, motivadamente, determinar liminarmente </w:t>
      </w:r>
      <w:r w:rsidRPr="00484359">
        <w:rPr>
          <w:rFonts w:ascii="Arial" w:hAnsi="Arial" w:cs="Arial"/>
          <w:b/>
          <w:sz w:val="18"/>
          <w:szCs w:val="18"/>
        </w:rPr>
        <w:t>medidas cautelares, com ou sem a oitiva prévia da parte</w:t>
      </w:r>
      <w:r w:rsidRPr="00484359">
        <w:rPr>
          <w:rFonts w:ascii="Arial" w:hAnsi="Arial" w:cs="Arial"/>
          <w:sz w:val="18"/>
          <w:szCs w:val="18"/>
        </w:rPr>
        <w:t>, nos casos previstos nos artigos 86 e 87 da Lei Estadual nº 5.888/2009.</w:t>
      </w:r>
      <w:r>
        <w:rPr>
          <w:rFonts w:ascii="Arial" w:hAnsi="Arial" w:cs="Arial"/>
          <w:sz w:val="18"/>
          <w:szCs w:val="18"/>
        </w:rPr>
        <w:t xml:space="preserve"> (grifos aditados)</w:t>
      </w:r>
    </w:p>
    <w:p w:rsidR="005F0FAC" w:rsidRPr="00484359" w:rsidRDefault="005F0FAC" w:rsidP="005F0FAC">
      <w:pPr>
        <w:spacing w:line="276" w:lineRule="auto"/>
        <w:ind w:left="2835"/>
        <w:jc w:val="both"/>
        <w:rPr>
          <w:rFonts w:ascii="Arial" w:hAnsi="Arial" w:cs="Arial"/>
          <w:sz w:val="18"/>
          <w:szCs w:val="18"/>
        </w:rPr>
      </w:pPr>
    </w:p>
    <w:p w:rsidR="005F0FAC" w:rsidRPr="00D6105D" w:rsidRDefault="005F0FAC" w:rsidP="005F0FAC">
      <w:pPr>
        <w:spacing w:line="360" w:lineRule="auto"/>
        <w:ind w:firstLine="1418"/>
        <w:jc w:val="both"/>
        <w:rPr>
          <w:rFonts w:ascii="Arial" w:hAnsi="Arial" w:cs="Arial"/>
        </w:rPr>
      </w:pPr>
      <w:r w:rsidRPr="00D6105D">
        <w:rPr>
          <w:rFonts w:ascii="Arial" w:hAnsi="Arial" w:cs="Arial"/>
        </w:rPr>
        <w:t>Observa-se que</w:t>
      </w:r>
      <w:r>
        <w:rPr>
          <w:rFonts w:ascii="Arial" w:hAnsi="Arial" w:cs="Arial"/>
        </w:rPr>
        <w:t xml:space="preserve"> no presente caso</w:t>
      </w:r>
      <w:r w:rsidRPr="00D6105D">
        <w:rPr>
          <w:rFonts w:ascii="Arial" w:hAnsi="Arial" w:cs="Arial"/>
        </w:rPr>
        <w:t xml:space="preserve"> estão presentes </w:t>
      </w:r>
      <w:r>
        <w:rPr>
          <w:rFonts w:ascii="Arial" w:hAnsi="Arial" w:cs="Arial"/>
        </w:rPr>
        <w:t>os requisitos necessários para o provimento cautelar</w:t>
      </w:r>
      <w:r w:rsidRPr="00D6105D">
        <w:rPr>
          <w:rFonts w:ascii="Arial" w:hAnsi="Arial" w:cs="Arial"/>
        </w:rPr>
        <w:t>, conforme será demonstrado.</w:t>
      </w:r>
    </w:p>
    <w:p w:rsidR="005F0FAC" w:rsidRDefault="005F0FAC" w:rsidP="005F0FAC">
      <w:pPr>
        <w:spacing w:line="360" w:lineRule="auto"/>
        <w:ind w:firstLine="1418"/>
        <w:jc w:val="both"/>
        <w:rPr>
          <w:rFonts w:ascii="Arial" w:hAnsi="Arial" w:cs="Arial"/>
        </w:rPr>
      </w:pPr>
    </w:p>
    <w:p w:rsidR="005F0FAC" w:rsidRPr="00AE1450" w:rsidRDefault="005F0FAC" w:rsidP="005F0FAC">
      <w:pPr>
        <w:spacing w:line="360" w:lineRule="auto"/>
        <w:ind w:firstLine="1418"/>
        <w:jc w:val="both"/>
        <w:rPr>
          <w:rFonts w:ascii="Arial" w:hAnsi="Arial" w:cs="Arial"/>
        </w:rPr>
      </w:pPr>
      <w:r w:rsidRPr="00D6105D">
        <w:rPr>
          <w:rFonts w:ascii="Arial" w:hAnsi="Arial" w:cs="Arial"/>
        </w:rPr>
        <w:t xml:space="preserve">No que tange à </w:t>
      </w:r>
      <w:r w:rsidRPr="006F14D5">
        <w:rPr>
          <w:rFonts w:ascii="Arial" w:hAnsi="Arial" w:cs="Arial"/>
          <w:b/>
          <w:i/>
          <w:u w:val="single"/>
        </w:rPr>
        <w:t>plausibilidade do direito</w:t>
      </w:r>
      <w:r>
        <w:rPr>
          <w:rFonts w:ascii="Arial" w:hAnsi="Arial" w:cs="Arial"/>
          <w:i/>
        </w:rPr>
        <w:t xml:space="preserve"> </w:t>
      </w:r>
      <w:r>
        <w:rPr>
          <w:rFonts w:ascii="Arial" w:hAnsi="Arial" w:cs="Arial"/>
        </w:rPr>
        <w:t>(fumaça do bom direito)</w:t>
      </w:r>
      <w:r w:rsidRPr="00D6105D">
        <w:rPr>
          <w:rFonts w:ascii="Arial" w:hAnsi="Arial" w:cs="Arial"/>
        </w:rPr>
        <w:t xml:space="preserve">, </w:t>
      </w:r>
      <w:r>
        <w:rPr>
          <w:rFonts w:ascii="Arial" w:hAnsi="Arial" w:cs="Arial"/>
        </w:rPr>
        <w:t xml:space="preserve">consubstancia-se </w:t>
      </w:r>
      <w:r>
        <w:rPr>
          <w:rFonts w:ascii="Arial" w:hAnsi="Arial" w:cs="Arial"/>
          <w:i/>
        </w:rPr>
        <w:t xml:space="preserve">in </w:t>
      </w:r>
      <w:proofErr w:type="spellStart"/>
      <w:r>
        <w:rPr>
          <w:rFonts w:ascii="Arial" w:hAnsi="Arial" w:cs="Arial"/>
          <w:i/>
        </w:rPr>
        <w:t>casu</w:t>
      </w:r>
      <w:proofErr w:type="spellEnd"/>
      <w:r>
        <w:rPr>
          <w:rFonts w:ascii="Arial" w:hAnsi="Arial" w:cs="Arial"/>
        </w:rPr>
        <w:t xml:space="preserve"> </w:t>
      </w:r>
      <w:r w:rsidRPr="005D25FF">
        <w:rPr>
          <w:rFonts w:ascii="Arial" w:hAnsi="Arial" w:cs="Arial"/>
        </w:rPr>
        <w:t xml:space="preserve">quando se demonstra, </w:t>
      </w:r>
      <w:r>
        <w:rPr>
          <w:rFonts w:ascii="Arial" w:hAnsi="Arial" w:cs="Arial"/>
        </w:rPr>
        <w:t xml:space="preserve">através de levantamento realizado pela Divisão Técnica (DFAM), que </w:t>
      </w:r>
      <w:r>
        <w:rPr>
          <w:rFonts w:ascii="Arial" w:hAnsi="Arial" w:cs="Arial"/>
          <w:b/>
        </w:rPr>
        <w:t>até a presente data o gestor responsável não encaminhou a este Tribunal de Contas a documentação exigida pelo Acórdão nº 2.711-A/17, deste Tribunal de Contas, embora creditado ao Município o pagamento de precatório das ações do FUNDEF,</w:t>
      </w:r>
      <w:r>
        <w:rPr>
          <w:rFonts w:ascii="Arial" w:hAnsi="Arial" w:cs="Arial"/>
        </w:rPr>
        <w:t xml:space="preserve"> </w:t>
      </w:r>
      <w:r w:rsidRPr="005D14EA">
        <w:rPr>
          <w:rFonts w:ascii="Arial" w:hAnsi="Arial" w:cs="Arial"/>
        </w:rPr>
        <w:t xml:space="preserve">ressalvando-se que, ante determinação do Tribunal de Contas da União, </w:t>
      </w:r>
      <w:proofErr w:type="gramStart"/>
      <w:r w:rsidRPr="005D14EA">
        <w:rPr>
          <w:rFonts w:ascii="Arial" w:hAnsi="Arial" w:cs="Arial"/>
        </w:rPr>
        <w:t>entende-se</w:t>
      </w:r>
      <w:proofErr w:type="gramEnd"/>
      <w:r w:rsidRPr="005D14EA">
        <w:rPr>
          <w:rFonts w:ascii="Arial" w:hAnsi="Arial" w:cs="Arial"/>
        </w:rPr>
        <w:t xml:space="preserve"> que o gestor responsável não poderá utilizar os recursos recebidos com pagamento a profissionais do magistério ou a quaisquer outros servidores públicos, a qualquer título.</w:t>
      </w:r>
    </w:p>
    <w:p w:rsidR="005F0FAC" w:rsidRDefault="005F0FAC" w:rsidP="005F0FAC">
      <w:pPr>
        <w:spacing w:line="360" w:lineRule="auto"/>
        <w:ind w:firstLine="1418"/>
        <w:jc w:val="both"/>
        <w:rPr>
          <w:rFonts w:ascii="Arial" w:hAnsi="Arial" w:cs="Arial"/>
        </w:rPr>
      </w:pPr>
    </w:p>
    <w:p w:rsidR="005F0FAC" w:rsidRPr="00770307" w:rsidRDefault="005F0FAC" w:rsidP="005F0FAC">
      <w:pPr>
        <w:spacing w:line="360" w:lineRule="auto"/>
        <w:ind w:firstLine="1418"/>
        <w:jc w:val="both"/>
        <w:rPr>
          <w:rFonts w:ascii="Arial" w:hAnsi="Arial" w:cs="Arial"/>
        </w:rPr>
      </w:pPr>
      <w:r w:rsidRPr="00D6105D">
        <w:rPr>
          <w:rFonts w:ascii="Arial" w:hAnsi="Arial" w:cs="Arial"/>
        </w:rPr>
        <w:t>Por outro lado,</w:t>
      </w:r>
      <w:r w:rsidRPr="005D25FF">
        <w:rPr>
          <w:rFonts w:ascii="Arial" w:hAnsi="Arial" w:cs="Arial"/>
        </w:rPr>
        <w:t xml:space="preserve"> o </w:t>
      </w:r>
      <w:r w:rsidRPr="00A6464B">
        <w:rPr>
          <w:rFonts w:ascii="Arial" w:hAnsi="Arial" w:cs="Arial"/>
          <w:b/>
          <w:i/>
          <w:u w:val="single"/>
        </w:rPr>
        <w:t>perigo da demora</w:t>
      </w:r>
      <w:r w:rsidRPr="00D6105D">
        <w:rPr>
          <w:rFonts w:ascii="Arial" w:hAnsi="Arial" w:cs="Arial"/>
        </w:rPr>
        <w:t xml:space="preserve"> </w:t>
      </w:r>
      <w:r>
        <w:rPr>
          <w:rFonts w:ascii="Arial" w:hAnsi="Arial" w:cs="Arial"/>
        </w:rPr>
        <w:t>resta</w:t>
      </w:r>
      <w:r w:rsidRPr="00D6105D">
        <w:rPr>
          <w:rFonts w:ascii="Arial" w:hAnsi="Arial" w:cs="Arial"/>
        </w:rPr>
        <w:t xml:space="preserve"> patente</w:t>
      </w:r>
      <w:r>
        <w:rPr>
          <w:rFonts w:ascii="Arial" w:hAnsi="Arial" w:cs="Arial"/>
        </w:rPr>
        <w:t>ado</w:t>
      </w:r>
      <w:r w:rsidRPr="00D6105D">
        <w:rPr>
          <w:rFonts w:ascii="Arial" w:hAnsi="Arial" w:cs="Arial"/>
        </w:rPr>
        <w:t xml:space="preserve"> e requer </w:t>
      </w:r>
      <w:r>
        <w:rPr>
          <w:rFonts w:ascii="Arial" w:hAnsi="Arial" w:cs="Arial"/>
        </w:rPr>
        <w:t xml:space="preserve">a pronta </w:t>
      </w:r>
      <w:r w:rsidRPr="00D6105D">
        <w:rPr>
          <w:rFonts w:ascii="Arial" w:hAnsi="Arial" w:cs="Arial"/>
        </w:rPr>
        <w:t>adoção de providências urgentes</w:t>
      </w:r>
      <w:r>
        <w:rPr>
          <w:rFonts w:ascii="Arial" w:hAnsi="Arial" w:cs="Arial"/>
        </w:rPr>
        <w:t xml:space="preserve"> por parte do Tribunal de Contas do Estado do Piauí, haja vista que </w:t>
      </w:r>
      <w:r>
        <w:rPr>
          <w:rFonts w:ascii="Arial" w:hAnsi="Arial" w:cs="Arial"/>
          <w:b/>
        </w:rPr>
        <w:t>a não apresentação da referida documentação compromete a efetiva fiscalização quanto à adequação na aplicação de vultosas quantias de natureza vinculada,</w:t>
      </w:r>
      <w:r>
        <w:rPr>
          <w:rFonts w:ascii="Arial" w:hAnsi="Arial" w:cs="Arial"/>
        </w:rPr>
        <w:t xml:space="preserve"> sendo de fundamental importância para o trabalho exercido por este Tribunal o cumprimento do Acórdão citado.</w:t>
      </w:r>
    </w:p>
    <w:p w:rsidR="005F0FAC" w:rsidRDefault="005F0FAC" w:rsidP="005F0FAC">
      <w:pPr>
        <w:spacing w:line="360" w:lineRule="auto"/>
        <w:ind w:firstLine="1418"/>
        <w:jc w:val="both"/>
        <w:rPr>
          <w:rFonts w:ascii="Arial" w:hAnsi="Arial" w:cs="Arial"/>
        </w:rPr>
      </w:pPr>
    </w:p>
    <w:p w:rsidR="005F0FAC" w:rsidRDefault="005F0FAC" w:rsidP="005F0FAC">
      <w:pPr>
        <w:spacing w:line="360" w:lineRule="auto"/>
        <w:ind w:firstLine="1418"/>
        <w:jc w:val="both"/>
        <w:rPr>
          <w:rFonts w:ascii="Arial" w:hAnsi="Arial" w:cs="Arial"/>
        </w:rPr>
      </w:pPr>
      <w:r>
        <w:rPr>
          <w:rFonts w:ascii="Arial" w:hAnsi="Arial" w:cs="Arial"/>
        </w:rPr>
        <w:t>Destarte</w:t>
      </w:r>
      <w:r w:rsidRPr="00D6105D">
        <w:rPr>
          <w:rFonts w:ascii="Arial" w:hAnsi="Arial" w:cs="Arial"/>
        </w:rPr>
        <w:t xml:space="preserve">, demonstrados os requisitos </w:t>
      </w:r>
      <w:r>
        <w:rPr>
          <w:rFonts w:ascii="Arial" w:hAnsi="Arial" w:cs="Arial"/>
        </w:rPr>
        <w:t xml:space="preserve">autorizadores </w:t>
      </w:r>
      <w:r w:rsidRPr="00D6105D">
        <w:rPr>
          <w:rFonts w:ascii="Arial" w:hAnsi="Arial" w:cs="Arial"/>
        </w:rPr>
        <w:t>para a concessão da medida cautelar</w:t>
      </w:r>
      <w:r>
        <w:rPr>
          <w:rFonts w:ascii="Arial" w:hAnsi="Arial" w:cs="Arial"/>
        </w:rPr>
        <w:t xml:space="preserve"> proposta</w:t>
      </w:r>
      <w:r w:rsidRPr="00D6105D">
        <w:rPr>
          <w:rFonts w:ascii="Arial" w:hAnsi="Arial" w:cs="Arial"/>
        </w:rPr>
        <w:t>, não há outro provimento a ser adotado</w:t>
      </w:r>
      <w:r>
        <w:rPr>
          <w:rFonts w:ascii="Arial" w:hAnsi="Arial" w:cs="Arial"/>
        </w:rPr>
        <w:t xml:space="preserve"> senão a sua imediata concessão, a fim de determinar o bloqueio imediato da conta bancária do Município referente ao FUNDEF, ou outra na qual tenham sido creditados os valores pagos a título de precatório oriundo de demanda atinente ao FUNDEF, mesmo sem a oitiva prévia dos representados, considerando a urgência que o caso reclama.</w:t>
      </w:r>
    </w:p>
    <w:p w:rsidR="005F0FAC" w:rsidRDefault="005F0FAC" w:rsidP="005F0FAC">
      <w:pPr>
        <w:spacing w:line="360" w:lineRule="auto"/>
        <w:ind w:firstLine="1418"/>
        <w:jc w:val="both"/>
        <w:rPr>
          <w:rFonts w:ascii="Arial" w:hAnsi="Arial" w:cs="Arial"/>
        </w:rPr>
      </w:pPr>
    </w:p>
    <w:p w:rsidR="005F0FAC" w:rsidRDefault="005F0FAC" w:rsidP="005F0FAC">
      <w:pPr>
        <w:spacing w:line="360" w:lineRule="auto"/>
        <w:ind w:firstLine="1418"/>
        <w:jc w:val="both"/>
        <w:rPr>
          <w:rFonts w:ascii="Arial" w:hAnsi="Arial" w:cs="Arial"/>
        </w:rPr>
      </w:pPr>
    </w:p>
    <w:p w:rsidR="005F0FAC" w:rsidRDefault="005F0FAC" w:rsidP="005F0FAC">
      <w:pPr>
        <w:spacing w:line="360" w:lineRule="auto"/>
        <w:ind w:firstLine="1418"/>
        <w:jc w:val="both"/>
        <w:rPr>
          <w:rFonts w:ascii="Arial" w:hAnsi="Arial" w:cs="Arial"/>
        </w:rPr>
      </w:pPr>
    </w:p>
    <w:p w:rsidR="005F0FAC" w:rsidRDefault="005F0FAC" w:rsidP="005F0FAC">
      <w:pPr>
        <w:spacing w:line="360" w:lineRule="auto"/>
        <w:ind w:firstLine="1418"/>
        <w:jc w:val="both"/>
        <w:rPr>
          <w:rFonts w:ascii="Arial" w:hAnsi="Arial" w:cs="Arial"/>
        </w:rPr>
      </w:pPr>
    </w:p>
    <w:p w:rsidR="00DB67F6" w:rsidRDefault="00DB67F6" w:rsidP="005F0FAC">
      <w:pPr>
        <w:spacing w:line="360" w:lineRule="auto"/>
        <w:ind w:firstLine="1418"/>
        <w:jc w:val="both"/>
        <w:rPr>
          <w:rFonts w:ascii="Arial" w:hAnsi="Arial" w:cs="Arial"/>
        </w:rPr>
      </w:pPr>
    </w:p>
    <w:p w:rsidR="00DB67F6" w:rsidRDefault="00DB67F6" w:rsidP="005F0FAC">
      <w:pPr>
        <w:spacing w:line="360" w:lineRule="auto"/>
        <w:ind w:firstLine="1418"/>
        <w:jc w:val="both"/>
        <w:rPr>
          <w:rFonts w:ascii="Arial" w:hAnsi="Arial" w:cs="Arial"/>
        </w:rPr>
      </w:pPr>
    </w:p>
    <w:p w:rsidR="005F0FAC" w:rsidRPr="001A2D5A" w:rsidRDefault="005F0FAC" w:rsidP="005F0FAC">
      <w:pPr>
        <w:pStyle w:val="Recuodecorpodetexto"/>
        <w:pBdr>
          <w:top w:val="single" w:sz="4" w:space="1" w:color="auto"/>
          <w:left w:val="single" w:sz="4" w:space="4" w:color="auto"/>
          <w:bottom w:val="single" w:sz="4" w:space="1" w:color="auto"/>
          <w:right w:val="single" w:sz="4" w:space="4" w:color="auto"/>
        </w:pBdr>
        <w:shd w:val="clear" w:color="auto" w:fill="E0E0E0"/>
        <w:tabs>
          <w:tab w:val="left" w:pos="1418"/>
        </w:tabs>
        <w:ind w:left="0"/>
        <w:rPr>
          <w:rFonts w:ascii="Arial" w:hAnsi="Arial" w:cs="Arial"/>
          <w:b/>
          <w:bCs/>
          <w:i w:val="0"/>
          <w:sz w:val="20"/>
          <w:szCs w:val="20"/>
        </w:rPr>
      </w:pPr>
      <w:r>
        <w:rPr>
          <w:rFonts w:ascii="Arial" w:hAnsi="Arial" w:cs="Arial"/>
          <w:b/>
          <w:bCs/>
          <w:i w:val="0"/>
          <w:sz w:val="20"/>
          <w:szCs w:val="20"/>
        </w:rPr>
        <w:lastRenderedPageBreak/>
        <w:t>3</w:t>
      </w:r>
      <w:r w:rsidRPr="001A2D5A">
        <w:rPr>
          <w:rFonts w:ascii="Arial" w:hAnsi="Arial" w:cs="Arial"/>
          <w:b/>
          <w:bCs/>
          <w:i w:val="0"/>
          <w:sz w:val="20"/>
          <w:szCs w:val="20"/>
        </w:rPr>
        <w:t xml:space="preserve"> </w:t>
      </w:r>
      <w:r>
        <w:rPr>
          <w:rFonts w:ascii="Arial" w:hAnsi="Arial" w:cs="Arial"/>
          <w:b/>
          <w:bCs/>
          <w:i w:val="0"/>
          <w:sz w:val="20"/>
          <w:szCs w:val="20"/>
        </w:rPr>
        <w:t>–</w:t>
      </w:r>
      <w:r w:rsidRPr="001A2D5A">
        <w:rPr>
          <w:rFonts w:ascii="Arial" w:hAnsi="Arial" w:cs="Arial"/>
          <w:b/>
          <w:bCs/>
          <w:i w:val="0"/>
          <w:sz w:val="20"/>
          <w:szCs w:val="20"/>
        </w:rPr>
        <w:t xml:space="preserve"> </w:t>
      </w:r>
      <w:r>
        <w:rPr>
          <w:rFonts w:ascii="Arial" w:hAnsi="Arial" w:cs="Arial"/>
          <w:b/>
          <w:bCs/>
          <w:i w:val="0"/>
          <w:sz w:val="20"/>
          <w:szCs w:val="20"/>
        </w:rPr>
        <w:t>DOS PEDIDOS</w:t>
      </w:r>
    </w:p>
    <w:p w:rsidR="005F0FAC" w:rsidRDefault="005F0FAC" w:rsidP="005F0FAC">
      <w:pPr>
        <w:spacing w:line="360" w:lineRule="auto"/>
        <w:ind w:firstLine="1418"/>
        <w:jc w:val="both"/>
        <w:rPr>
          <w:rFonts w:ascii="Arial" w:hAnsi="Arial" w:cs="Arial"/>
        </w:rPr>
      </w:pPr>
    </w:p>
    <w:p w:rsidR="005F0FAC" w:rsidRDefault="005F0FAC" w:rsidP="005F0FAC">
      <w:pPr>
        <w:spacing w:line="360" w:lineRule="auto"/>
        <w:ind w:firstLine="1418"/>
        <w:jc w:val="both"/>
        <w:rPr>
          <w:rFonts w:ascii="Arial" w:hAnsi="Arial" w:cs="Arial"/>
          <w:bCs/>
        </w:rPr>
      </w:pPr>
      <w:r>
        <w:rPr>
          <w:rFonts w:ascii="Arial" w:hAnsi="Arial" w:cs="Arial"/>
          <w:bCs/>
        </w:rPr>
        <w:t>A</w:t>
      </w:r>
      <w:r w:rsidRPr="002B1C2B">
        <w:rPr>
          <w:rFonts w:ascii="Arial" w:hAnsi="Arial" w:cs="Arial"/>
          <w:bCs/>
        </w:rPr>
        <w:t>nte o exposto e fundamentado, o Ministério Público de Contas</w:t>
      </w:r>
      <w:r>
        <w:rPr>
          <w:rFonts w:ascii="Arial" w:hAnsi="Arial" w:cs="Arial"/>
          <w:bCs/>
        </w:rPr>
        <w:t xml:space="preserve">, </w:t>
      </w:r>
      <w:r w:rsidRPr="00F70394">
        <w:rPr>
          <w:rFonts w:ascii="Arial" w:hAnsi="Arial" w:cs="Arial"/>
          <w:bCs/>
        </w:rPr>
        <w:t>considerando a gr</w:t>
      </w:r>
      <w:r>
        <w:rPr>
          <w:rFonts w:ascii="Arial" w:hAnsi="Arial" w:cs="Arial"/>
          <w:bCs/>
        </w:rPr>
        <w:t>avidade e a relevância do tema, requer:</w:t>
      </w:r>
    </w:p>
    <w:p w:rsidR="005F0FAC" w:rsidRPr="00294163" w:rsidRDefault="005F0FAC" w:rsidP="005F0FAC">
      <w:pPr>
        <w:spacing w:line="360" w:lineRule="auto"/>
        <w:ind w:firstLine="1418"/>
        <w:jc w:val="both"/>
        <w:rPr>
          <w:rFonts w:ascii="Arial" w:hAnsi="Arial" w:cs="Arial"/>
          <w:bCs/>
        </w:rPr>
      </w:pPr>
    </w:p>
    <w:p w:rsidR="005F0FAC" w:rsidRDefault="005F0FAC" w:rsidP="005F0FAC">
      <w:pPr>
        <w:numPr>
          <w:ilvl w:val="0"/>
          <w:numId w:val="1"/>
        </w:numPr>
        <w:tabs>
          <w:tab w:val="clear" w:pos="4560"/>
          <w:tab w:val="num" w:pos="1800"/>
        </w:tabs>
        <w:spacing w:line="360" w:lineRule="auto"/>
        <w:ind w:left="1800" w:hanging="283"/>
        <w:jc w:val="both"/>
        <w:rPr>
          <w:rFonts w:ascii="Arial" w:hAnsi="Arial" w:cs="Arial"/>
        </w:rPr>
      </w:pPr>
      <w:r w:rsidRPr="00F4485A">
        <w:rPr>
          <w:rFonts w:ascii="Arial" w:hAnsi="Arial" w:cs="Arial"/>
        </w:rPr>
        <w:t xml:space="preserve">O </w:t>
      </w:r>
      <w:r w:rsidRPr="00F4485A">
        <w:rPr>
          <w:rFonts w:ascii="Arial" w:hAnsi="Arial" w:cs="Arial"/>
          <w:b/>
        </w:rPr>
        <w:t>recebimento</w:t>
      </w:r>
      <w:r w:rsidRPr="00F4485A">
        <w:rPr>
          <w:rFonts w:ascii="Arial" w:hAnsi="Arial" w:cs="Arial"/>
        </w:rPr>
        <w:t xml:space="preserve"> da presente </w:t>
      </w:r>
      <w:r w:rsidRPr="00F4485A">
        <w:rPr>
          <w:rFonts w:ascii="Arial" w:hAnsi="Arial" w:cs="Arial"/>
          <w:b/>
        </w:rPr>
        <w:t>representação</w:t>
      </w:r>
      <w:r w:rsidRPr="00F4485A">
        <w:rPr>
          <w:rFonts w:ascii="Arial" w:hAnsi="Arial" w:cs="Arial"/>
        </w:rPr>
        <w:t xml:space="preserve">, com fundamento no art. 104, inciso </w:t>
      </w:r>
      <w:proofErr w:type="gramStart"/>
      <w:r w:rsidRPr="00F4485A">
        <w:rPr>
          <w:rFonts w:ascii="Arial" w:hAnsi="Arial" w:cs="Arial"/>
        </w:rPr>
        <w:t>VI</w:t>
      </w:r>
      <w:proofErr w:type="gramEnd"/>
      <w:r w:rsidRPr="00F4485A">
        <w:rPr>
          <w:rFonts w:ascii="Arial" w:hAnsi="Arial" w:cs="Arial"/>
        </w:rPr>
        <w:t>, da Lei nº 5.888/200</w:t>
      </w:r>
      <w:r>
        <w:rPr>
          <w:rFonts w:ascii="Arial" w:hAnsi="Arial" w:cs="Arial"/>
        </w:rPr>
        <w:t>9</w:t>
      </w:r>
      <w:r w:rsidRPr="00F4485A">
        <w:rPr>
          <w:rFonts w:ascii="Arial" w:hAnsi="Arial" w:cs="Arial"/>
        </w:rPr>
        <w:t>, em face do Sr.</w:t>
      </w:r>
      <w:r>
        <w:rPr>
          <w:rFonts w:ascii="Arial" w:hAnsi="Arial" w:cs="Arial"/>
        </w:rPr>
        <w:t xml:space="preserve"> José </w:t>
      </w:r>
      <w:proofErr w:type="spellStart"/>
      <w:r>
        <w:rPr>
          <w:rFonts w:ascii="Arial" w:hAnsi="Arial" w:cs="Arial"/>
        </w:rPr>
        <w:t>Jailson</w:t>
      </w:r>
      <w:proofErr w:type="spellEnd"/>
      <w:r>
        <w:rPr>
          <w:rFonts w:ascii="Arial" w:hAnsi="Arial" w:cs="Arial"/>
        </w:rPr>
        <w:t xml:space="preserve"> Pio</w:t>
      </w:r>
      <w:r w:rsidRPr="00F4485A">
        <w:rPr>
          <w:rFonts w:ascii="Arial" w:hAnsi="Arial" w:cs="Arial"/>
        </w:rPr>
        <w:t>, Prefeito</w:t>
      </w:r>
      <w:r>
        <w:rPr>
          <w:rFonts w:ascii="Arial" w:hAnsi="Arial" w:cs="Arial"/>
        </w:rPr>
        <w:t xml:space="preserve"> </w:t>
      </w:r>
      <w:r w:rsidRPr="00F4485A">
        <w:rPr>
          <w:rFonts w:ascii="Arial" w:hAnsi="Arial" w:cs="Arial"/>
        </w:rPr>
        <w:t>Municipal;</w:t>
      </w:r>
    </w:p>
    <w:p w:rsidR="005F0FAC" w:rsidRDefault="005F0FAC" w:rsidP="005F0FAC">
      <w:pPr>
        <w:tabs>
          <w:tab w:val="num" w:pos="1800"/>
        </w:tabs>
        <w:spacing w:line="360" w:lineRule="auto"/>
        <w:ind w:left="1800"/>
        <w:jc w:val="both"/>
        <w:rPr>
          <w:rFonts w:ascii="Arial" w:hAnsi="Arial" w:cs="Arial"/>
        </w:rPr>
      </w:pPr>
    </w:p>
    <w:p w:rsidR="005F0FAC" w:rsidRPr="005D14EA" w:rsidRDefault="005F0FAC" w:rsidP="005F0FAC">
      <w:pPr>
        <w:numPr>
          <w:ilvl w:val="0"/>
          <w:numId w:val="1"/>
        </w:numPr>
        <w:tabs>
          <w:tab w:val="clear" w:pos="4560"/>
          <w:tab w:val="num" w:pos="1800"/>
        </w:tabs>
        <w:spacing w:line="360" w:lineRule="auto"/>
        <w:ind w:left="1800" w:hanging="283"/>
        <w:jc w:val="both"/>
        <w:rPr>
          <w:rFonts w:ascii="Arial" w:hAnsi="Arial" w:cs="Arial"/>
        </w:rPr>
      </w:pPr>
      <w:r w:rsidRPr="005D14EA">
        <w:rPr>
          <w:rFonts w:ascii="Arial" w:hAnsi="Arial" w:cs="Arial"/>
        </w:rPr>
        <w:t xml:space="preserve">A </w:t>
      </w:r>
      <w:r w:rsidRPr="005D14EA">
        <w:rPr>
          <w:rFonts w:ascii="Arial" w:hAnsi="Arial" w:cs="Arial"/>
          <w:b/>
          <w:u w:val="single"/>
        </w:rPr>
        <w:t>concessão</w:t>
      </w:r>
      <w:r w:rsidRPr="005D14EA">
        <w:rPr>
          <w:rFonts w:ascii="Arial" w:hAnsi="Arial" w:cs="Arial"/>
          <w:u w:val="single"/>
        </w:rPr>
        <w:t xml:space="preserve"> de </w:t>
      </w:r>
      <w:r w:rsidRPr="005D14EA">
        <w:rPr>
          <w:rFonts w:ascii="Arial" w:hAnsi="Arial" w:cs="Arial"/>
          <w:b/>
          <w:u w:val="single"/>
        </w:rPr>
        <w:t>medida</w:t>
      </w:r>
      <w:r w:rsidRPr="005D14EA">
        <w:rPr>
          <w:rFonts w:ascii="Arial" w:hAnsi="Arial" w:cs="Arial"/>
          <w:u w:val="single"/>
        </w:rPr>
        <w:t xml:space="preserve"> </w:t>
      </w:r>
      <w:r w:rsidRPr="005D14EA">
        <w:rPr>
          <w:rFonts w:ascii="Arial" w:hAnsi="Arial" w:cs="Arial"/>
          <w:b/>
          <w:u w:val="single"/>
        </w:rPr>
        <w:t>cautelar</w:t>
      </w:r>
      <w:r w:rsidRPr="005D14EA">
        <w:rPr>
          <w:rFonts w:ascii="Arial" w:hAnsi="Arial" w:cs="Arial"/>
        </w:rPr>
        <w:t xml:space="preserve"> </w:t>
      </w:r>
      <w:r w:rsidRPr="005D14EA">
        <w:rPr>
          <w:rFonts w:ascii="Arial" w:hAnsi="Arial" w:cs="Arial"/>
          <w:b/>
        </w:rPr>
        <w:t>determinando o imediato bloqueio da conta do FUNDEF da Prefeitura Municipal de São Felix do Piauí ou de outra conta específica na qual tenha sido creditada a importância dos valores referentes aos precatórios pagos atinentes às ações judiciais que discutiram os valores do FUNDEF repassados pela União</w:t>
      </w:r>
      <w:r w:rsidRPr="005D14EA">
        <w:rPr>
          <w:rFonts w:ascii="Arial" w:hAnsi="Arial" w:cs="Arial"/>
        </w:rPr>
        <w:t xml:space="preserve">, com base no art. 86, inciso V, da Lei nº 5.888/2009, até que o gestor encaminhe a este Tribunal de Contas </w:t>
      </w:r>
      <w:r w:rsidRPr="005D14EA">
        <w:rPr>
          <w:rFonts w:ascii="Arial" w:hAnsi="Arial" w:cs="Arial"/>
          <w:b/>
        </w:rPr>
        <w:t xml:space="preserve">todos os documentos exigidos pelo Acórdão nº 2.711-A-17/TCE-PI, para fins de liberação dos 40%, </w:t>
      </w:r>
      <w:r w:rsidRPr="005D14EA">
        <w:rPr>
          <w:rFonts w:ascii="Arial" w:hAnsi="Arial" w:cs="Arial"/>
        </w:rPr>
        <w:t xml:space="preserve">ressalvando-se que, ante determinação do Tribunal de Contas da União, </w:t>
      </w:r>
      <w:proofErr w:type="gramStart"/>
      <w:r w:rsidRPr="005D14EA">
        <w:rPr>
          <w:rFonts w:ascii="Arial" w:hAnsi="Arial" w:cs="Arial"/>
        </w:rPr>
        <w:t>entende-se</w:t>
      </w:r>
      <w:proofErr w:type="gramEnd"/>
      <w:r w:rsidRPr="005D14EA">
        <w:rPr>
          <w:rFonts w:ascii="Arial" w:hAnsi="Arial" w:cs="Arial"/>
        </w:rPr>
        <w:t xml:space="preserve"> que o gestor responsável não poderá utilizar os recursos recebidos com pagamento a profissionais do magistério ou a quaisquer outros servidores públicos, a qualquer título, mantendo-se o bloqueio de 60% dos valores enquanto não julgado, no mérito, a questão da </w:t>
      </w:r>
      <w:proofErr w:type="spellStart"/>
      <w:r w:rsidRPr="005D14EA">
        <w:rPr>
          <w:rFonts w:ascii="Arial" w:hAnsi="Arial" w:cs="Arial"/>
        </w:rPr>
        <w:t>subvinculação</w:t>
      </w:r>
      <w:proofErr w:type="spellEnd"/>
      <w:r w:rsidRPr="005D14EA">
        <w:rPr>
          <w:rFonts w:ascii="Arial" w:hAnsi="Arial" w:cs="Arial"/>
        </w:rPr>
        <w:t>.</w:t>
      </w:r>
    </w:p>
    <w:p w:rsidR="005F0FAC" w:rsidRPr="00064BFF" w:rsidRDefault="005F0FAC" w:rsidP="005F0FAC">
      <w:pPr>
        <w:spacing w:line="360" w:lineRule="auto"/>
        <w:jc w:val="both"/>
        <w:rPr>
          <w:rFonts w:ascii="Arial" w:hAnsi="Arial" w:cs="Arial"/>
        </w:rPr>
      </w:pPr>
    </w:p>
    <w:p w:rsidR="005F0FAC" w:rsidRPr="00D84125" w:rsidRDefault="005F0FAC" w:rsidP="005F0FAC">
      <w:pPr>
        <w:numPr>
          <w:ilvl w:val="0"/>
          <w:numId w:val="1"/>
        </w:numPr>
        <w:tabs>
          <w:tab w:val="clear" w:pos="4560"/>
          <w:tab w:val="num" w:pos="1800"/>
        </w:tabs>
        <w:spacing w:line="360" w:lineRule="auto"/>
        <w:ind w:left="1800" w:hanging="283"/>
        <w:jc w:val="both"/>
        <w:rPr>
          <w:rFonts w:ascii="Arial" w:hAnsi="Arial" w:cs="Arial"/>
        </w:rPr>
      </w:pPr>
      <w:r w:rsidRPr="00D84125">
        <w:rPr>
          <w:rFonts w:ascii="Arial" w:hAnsi="Arial" w:cs="Arial"/>
        </w:rPr>
        <w:t xml:space="preserve">Em seguida, a notificação do </w:t>
      </w:r>
      <w:r w:rsidRPr="00D84125">
        <w:rPr>
          <w:rFonts w:ascii="Arial" w:hAnsi="Arial" w:cs="Arial"/>
          <w:b/>
        </w:rPr>
        <w:t>Prefeito Municipal</w:t>
      </w:r>
      <w:r w:rsidRPr="00D84125">
        <w:rPr>
          <w:rFonts w:ascii="Arial" w:hAnsi="Arial" w:cs="Arial"/>
        </w:rPr>
        <w:t xml:space="preserve">, </w:t>
      </w:r>
      <w:proofErr w:type="spellStart"/>
      <w:r w:rsidRPr="00D84125">
        <w:rPr>
          <w:rFonts w:ascii="Arial" w:hAnsi="Arial" w:cs="Arial"/>
        </w:rPr>
        <w:t>Sr.</w:t>
      </w:r>
      <w:r>
        <w:rPr>
          <w:rFonts w:ascii="Arial" w:hAnsi="Arial" w:cs="Arial"/>
        </w:rPr>
        <w:t>José</w:t>
      </w:r>
      <w:proofErr w:type="spellEnd"/>
      <w:r>
        <w:rPr>
          <w:rFonts w:ascii="Arial" w:hAnsi="Arial" w:cs="Arial"/>
        </w:rPr>
        <w:t xml:space="preserve"> </w:t>
      </w:r>
      <w:proofErr w:type="spellStart"/>
      <w:r>
        <w:rPr>
          <w:rFonts w:ascii="Arial" w:hAnsi="Arial" w:cs="Arial"/>
        </w:rPr>
        <w:t>Jailson</w:t>
      </w:r>
      <w:proofErr w:type="spellEnd"/>
      <w:r>
        <w:rPr>
          <w:rFonts w:ascii="Arial" w:hAnsi="Arial" w:cs="Arial"/>
        </w:rPr>
        <w:t xml:space="preserve"> Pio</w:t>
      </w:r>
      <w:r w:rsidRPr="00D84125">
        <w:rPr>
          <w:rFonts w:ascii="Arial" w:hAnsi="Arial" w:cs="Arial"/>
        </w:rPr>
        <w:t>, para que, querendo, deduza alegações de defesa acerca dos fatos denunciados, no prazo regimental;</w:t>
      </w:r>
    </w:p>
    <w:p w:rsidR="005F0FAC" w:rsidRDefault="005F0FAC" w:rsidP="005F0FAC">
      <w:pPr>
        <w:pStyle w:val="PargrafodaLista"/>
        <w:rPr>
          <w:rFonts w:ascii="Arial" w:hAnsi="Arial" w:cs="Arial"/>
        </w:rPr>
      </w:pPr>
    </w:p>
    <w:p w:rsidR="005F0FAC" w:rsidRDefault="005F0FAC" w:rsidP="005F0FAC">
      <w:pPr>
        <w:numPr>
          <w:ilvl w:val="0"/>
          <w:numId w:val="1"/>
        </w:numPr>
        <w:tabs>
          <w:tab w:val="clear" w:pos="4560"/>
          <w:tab w:val="num" w:pos="1800"/>
        </w:tabs>
        <w:spacing w:line="360" w:lineRule="auto"/>
        <w:ind w:left="1800" w:hanging="283"/>
        <w:jc w:val="both"/>
        <w:rPr>
          <w:rFonts w:ascii="Arial" w:hAnsi="Arial" w:cs="Arial"/>
        </w:rPr>
      </w:pPr>
      <w:r>
        <w:rPr>
          <w:rFonts w:ascii="Arial" w:hAnsi="Arial" w:cs="Arial"/>
        </w:rPr>
        <w:t xml:space="preserve">Expedição de </w:t>
      </w:r>
      <w:r w:rsidRPr="00064BFF">
        <w:rPr>
          <w:rFonts w:ascii="Arial" w:hAnsi="Arial" w:cs="Arial"/>
          <w:b/>
        </w:rPr>
        <w:t>determinação</w:t>
      </w:r>
      <w:r>
        <w:rPr>
          <w:rFonts w:ascii="Arial" w:hAnsi="Arial" w:cs="Arial"/>
        </w:rPr>
        <w:t xml:space="preserve"> para que, no prazo referente à defesa, o gestor municipal apresente ao Tribunal de Contas os:</w:t>
      </w:r>
    </w:p>
    <w:p w:rsidR="005F0FAC" w:rsidRDefault="005F0FAC" w:rsidP="005F0FAC">
      <w:pPr>
        <w:pStyle w:val="PargrafodaLista"/>
        <w:rPr>
          <w:rFonts w:ascii="Arial" w:hAnsi="Arial" w:cs="Arial"/>
        </w:rPr>
      </w:pPr>
    </w:p>
    <w:p w:rsidR="005F0FAC" w:rsidRDefault="005F0FAC" w:rsidP="005F0FAC">
      <w:pPr>
        <w:spacing w:line="360" w:lineRule="auto"/>
        <w:ind w:left="2127" w:hanging="567"/>
        <w:jc w:val="both"/>
        <w:rPr>
          <w:rFonts w:ascii="Arial" w:hAnsi="Arial" w:cs="Arial"/>
        </w:rPr>
      </w:pPr>
      <w:proofErr w:type="gramStart"/>
      <w:r>
        <w:rPr>
          <w:rFonts w:ascii="Arial" w:hAnsi="Arial" w:cs="Arial"/>
        </w:rPr>
        <w:t>d.</w:t>
      </w:r>
      <w:proofErr w:type="gramEnd"/>
      <w:r>
        <w:rPr>
          <w:rFonts w:ascii="Arial" w:hAnsi="Arial" w:cs="Arial"/>
        </w:rPr>
        <w:t>1)  Extratos bancários de todas as contas nos meses em que: fora creditado o  valor referente ao precatório em análise; fora transferido o valor referido para conta específica do Município; foram realizados pagamentos com os recursos em questão, caso tenham ocorrido.</w:t>
      </w:r>
    </w:p>
    <w:p w:rsidR="005F0FAC" w:rsidRDefault="005F0FAC" w:rsidP="005F0FAC">
      <w:pPr>
        <w:spacing w:line="360" w:lineRule="auto"/>
        <w:ind w:left="2127" w:hanging="567"/>
        <w:jc w:val="both"/>
        <w:rPr>
          <w:rFonts w:ascii="Arial" w:hAnsi="Arial" w:cs="Arial"/>
        </w:rPr>
      </w:pPr>
    </w:p>
    <w:p w:rsidR="005F0FAC" w:rsidRDefault="005F0FAC" w:rsidP="005F0FAC">
      <w:pPr>
        <w:spacing w:line="360" w:lineRule="auto"/>
        <w:ind w:left="2127" w:hanging="567"/>
        <w:jc w:val="both"/>
        <w:rPr>
          <w:rFonts w:ascii="Arial" w:hAnsi="Arial" w:cs="Arial"/>
        </w:rPr>
      </w:pPr>
      <w:proofErr w:type="gramStart"/>
      <w:r>
        <w:rPr>
          <w:rFonts w:ascii="Arial" w:hAnsi="Arial" w:cs="Arial"/>
        </w:rPr>
        <w:t>d.</w:t>
      </w:r>
      <w:proofErr w:type="gramEnd"/>
      <w:r>
        <w:rPr>
          <w:rFonts w:ascii="Arial" w:hAnsi="Arial" w:cs="Arial"/>
        </w:rPr>
        <w:t>2)   Em havendo dispêndios com os recursos em questão, que sejam apontadas as bases legais (contratos, empenhos, e demais documentos atinentes ao processo de despesa) que fundamentaram tais gastos.</w:t>
      </w:r>
    </w:p>
    <w:p w:rsidR="005F0FAC" w:rsidRPr="00434F71" w:rsidRDefault="005F0FAC" w:rsidP="005F0FAC">
      <w:pPr>
        <w:spacing w:line="360" w:lineRule="auto"/>
        <w:jc w:val="both"/>
        <w:rPr>
          <w:rFonts w:ascii="Arial" w:hAnsi="Arial" w:cs="Arial"/>
        </w:rPr>
      </w:pPr>
    </w:p>
    <w:p w:rsidR="005F0FAC" w:rsidRPr="00D070FD" w:rsidRDefault="005F0FAC" w:rsidP="005F0FAC">
      <w:pPr>
        <w:numPr>
          <w:ilvl w:val="0"/>
          <w:numId w:val="1"/>
        </w:numPr>
        <w:tabs>
          <w:tab w:val="clear" w:pos="4560"/>
          <w:tab w:val="num" w:pos="1800"/>
        </w:tabs>
        <w:spacing w:line="360" w:lineRule="auto"/>
        <w:ind w:left="1800" w:hanging="283"/>
        <w:jc w:val="both"/>
        <w:rPr>
          <w:rFonts w:ascii="Arial" w:hAnsi="Arial" w:cs="Arial"/>
        </w:rPr>
      </w:pPr>
      <w:r w:rsidRPr="00D070FD">
        <w:rPr>
          <w:rFonts w:ascii="Arial" w:hAnsi="Arial" w:cs="Arial"/>
        </w:rPr>
        <w:lastRenderedPageBreak/>
        <w:t>Ao final, requer que os autos retornem a este Ministério Público de Contas para manifestação definitiva.</w:t>
      </w:r>
    </w:p>
    <w:p w:rsidR="005F0FAC" w:rsidRDefault="005F0FAC" w:rsidP="005F0FAC">
      <w:pPr>
        <w:ind w:firstLine="2268"/>
        <w:jc w:val="both"/>
        <w:rPr>
          <w:rFonts w:ascii="Arial" w:hAnsi="Arial" w:cs="Arial"/>
        </w:rPr>
      </w:pPr>
    </w:p>
    <w:p w:rsidR="005F0FAC" w:rsidRPr="00AF5D33" w:rsidRDefault="005F0FAC" w:rsidP="005F0FAC">
      <w:pPr>
        <w:jc w:val="both"/>
        <w:rPr>
          <w:rFonts w:ascii="Arial" w:hAnsi="Arial" w:cs="Arial"/>
        </w:rPr>
      </w:pPr>
    </w:p>
    <w:p w:rsidR="005F0FAC" w:rsidRPr="00653F26" w:rsidRDefault="005F0FAC" w:rsidP="005F0FAC">
      <w:pPr>
        <w:ind w:firstLine="1560"/>
        <w:rPr>
          <w:rFonts w:ascii="Arial" w:hAnsi="Arial" w:cs="Arial"/>
        </w:rPr>
      </w:pPr>
      <w:r w:rsidRPr="00653F26">
        <w:rPr>
          <w:rFonts w:ascii="Arial" w:hAnsi="Arial" w:cs="Arial"/>
        </w:rPr>
        <w:t>Nestes termos,</w:t>
      </w:r>
    </w:p>
    <w:p w:rsidR="005F0FAC" w:rsidRPr="00653F26" w:rsidRDefault="005F0FAC" w:rsidP="005F0FAC">
      <w:pPr>
        <w:ind w:firstLine="1560"/>
        <w:rPr>
          <w:rFonts w:ascii="Arial" w:hAnsi="Arial" w:cs="Arial"/>
        </w:rPr>
      </w:pPr>
    </w:p>
    <w:p w:rsidR="005F0FAC" w:rsidRPr="00653F26" w:rsidRDefault="005F0FAC" w:rsidP="005F0FAC">
      <w:pPr>
        <w:spacing w:line="360" w:lineRule="auto"/>
        <w:ind w:firstLine="1560"/>
        <w:rPr>
          <w:rFonts w:ascii="Arial" w:hAnsi="Arial" w:cs="Arial"/>
        </w:rPr>
      </w:pPr>
      <w:r w:rsidRPr="00653F26">
        <w:rPr>
          <w:rFonts w:ascii="Arial" w:hAnsi="Arial" w:cs="Arial"/>
        </w:rPr>
        <w:t>Aguarda deferimento.</w:t>
      </w:r>
    </w:p>
    <w:p w:rsidR="005F0FAC" w:rsidRPr="00653F26" w:rsidRDefault="005F0FAC" w:rsidP="005F0FAC">
      <w:pPr>
        <w:jc w:val="both"/>
        <w:rPr>
          <w:rFonts w:ascii="Arial" w:hAnsi="Arial" w:cs="Arial"/>
        </w:rPr>
      </w:pPr>
    </w:p>
    <w:p w:rsidR="005F0FAC" w:rsidRDefault="005F0FAC" w:rsidP="005F0FAC">
      <w:pPr>
        <w:jc w:val="both"/>
        <w:rPr>
          <w:rFonts w:ascii="Arial" w:hAnsi="Arial" w:cs="Arial"/>
        </w:rPr>
      </w:pPr>
    </w:p>
    <w:p w:rsidR="005F0FAC" w:rsidRPr="00653F26" w:rsidRDefault="005F0FAC" w:rsidP="005F0FAC">
      <w:pPr>
        <w:jc w:val="both"/>
        <w:rPr>
          <w:rFonts w:ascii="Arial" w:hAnsi="Arial" w:cs="Arial"/>
        </w:rPr>
      </w:pPr>
    </w:p>
    <w:p w:rsidR="005F0FAC" w:rsidRPr="00653F26" w:rsidRDefault="005F0FAC" w:rsidP="005F0FAC">
      <w:pPr>
        <w:jc w:val="both"/>
        <w:rPr>
          <w:rFonts w:ascii="Arial" w:hAnsi="Arial" w:cs="Arial"/>
        </w:rPr>
      </w:pPr>
    </w:p>
    <w:p w:rsidR="005F0FAC" w:rsidRPr="00546BAC" w:rsidRDefault="005F0FAC" w:rsidP="005F0FAC">
      <w:pPr>
        <w:spacing w:line="360" w:lineRule="auto"/>
        <w:jc w:val="center"/>
        <w:rPr>
          <w:rFonts w:ascii="Arial" w:hAnsi="Arial" w:cs="Arial"/>
        </w:rPr>
      </w:pPr>
      <w:r w:rsidRPr="00546BAC">
        <w:rPr>
          <w:rFonts w:ascii="Arial" w:hAnsi="Arial" w:cs="Arial"/>
        </w:rPr>
        <w:t xml:space="preserve">Teresina - PI, 03 de outubro de </w:t>
      </w:r>
      <w:proofErr w:type="gramStart"/>
      <w:r w:rsidRPr="00546BAC">
        <w:rPr>
          <w:rFonts w:ascii="Arial" w:hAnsi="Arial" w:cs="Arial"/>
        </w:rPr>
        <w:t>2018</w:t>
      </w:r>
      <w:proofErr w:type="gramEnd"/>
    </w:p>
    <w:p w:rsidR="005F0FAC" w:rsidRPr="00546BAC" w:rsidRDefault="005F0FAC" w:rsidP="005F0FAC"/>
    <w:p w:rsidR="005F0FAC" w:rsidRPr="00546BAC" w:rsidRDefault="005F0FAC" w:rsidP="005F0FAC">
      <w:pPr>
        <w:spacing w:line="276" w:lineRule="auto"/>
        <w:jc w:val="center"/>
        <w:rPr>
          <w:rFonts w:ascii="Arial" w:hAnsi="Arial" w:cs="Arial"/>
        </w:rPr>
      </w:pPr>
    </w:p>
    <w:p w:rsidR="005F0FAC" w:rsidRPr="00546BAC" w:rsidRDefault="005F0FAC" w:rsidP="005F0FAC">
      <w:pPr>
        <w:spacing w:line="276" w:lineRule="auto"/>
        <w:jc w:val="center"/>
        <w:rPr>
          <w:rFonts w:ascii="Arial" w:hAnsi="Arial" w:cs="Arial"/>
        </w:rPr>
      </w:pPr>
    </w:p>
    <w:p w:rsidR="005F0FAC" w:rsidRPr="00546BAC" w:rsidRDefault="005F0FAC" w:rsidP="005F0FAC">
      <w:pPr>
        <w:jc w:val="center"/>
        <w:rPr>
          <w:rFonts w:ascii="Arial" w:hAnsi="Arial" w:cs="Arial"/>
          <w:b/>
        </w:rPr>
      </w:pPr>
      <w:r w:rsidRPr="00546BAC">
        <w:rPr>
          <w:rFonts w:ascii="Arial" w:hAnsi="Arial" w:cs="Arial"/>
          <w:b/>
        </w:rPr>
        <w:t>Plínio Valente Ramos Neto</w:t>
      </w:r>
    </w:p>
    <w:p w:rsidR="005F0FAC" w:rsidRPr="00795AD8" w:rsidRDefault="005F0FAC" w:rsidP="005F0FAC">
      <w:pPr>
        <w:jc w:val="center"/>
        <w:rPr>
          <w:rFonts w:ascii="Arial" w:hAnsi="Arial" w:cs="Arial"/>
          <w:bCs/>
          <w:i/>
          <w:iCs/>
        </w:rPr>
      </w:pPr>
      <w:r w:rsidRPr="00546BAC">
        <w:rPr>
          <w:rFonts w:ascii="Arial" w:hAnsi="Arial" w:cs="Arial"/>
          <w:bCs/>
          <w:i/>
          <w:iCs/>
        </w:rPr>
        <w:t>Procurador do Ministério Público de Contas</w:t>
      </w:r>
    </w:p>
    <w:p w:rsidR="005F0FAC" w:rsidRDefault="005F0FAC" w:rsidP="005F0FAC">
      <w:pPr>
        <w:ind w:firstLine="2268"/>
        <w:jc w:val="both"/>
        <w:rPr>
          <w:rFonts w:ascii="Arial" w:hAnsi="Arial" w:cs="Arial"/>
        </w:rPr>
      </w:pPr>
    </w:p>
    <w:p w:rsidR="005F0FAC" w:rsidRDefault="005F0FAC" w:rsidP="005F0FAC">
      <w:pPr>
        <w:ind w:firstLine="2268"/>
        <w:jc w:val="both"/>
        <w:rPr>
          <w:rFonts w:ascii="Arial" w:hAnsi="Arial" w:cs="Arial"/>
        </w:rPr>
      </w:pPr>
    </w:p>
    <w:p w:rsidR="005F0FAC" w:rsidRDefault="005F0FAC" w:rsidP="005F0FAC">
      <w:pPr>
        <w:ind w:firstLine="2268"/>
        <w:jc w:val="both"/>
        <w:rPr>
          <w:rFonts w:ascii="Arial" w:hAnsi="Arial" w:cs="Arial"/>
        </w:rPr>
      </w:pPr>
    </w:p>
    <w:p w:rsidR="005F0FAC" w:rsidRPr="00AF5D33" w:rsidRDefault="005F0FAC" w:rsidP="005F0FAC">
      <w:pPr>
        <w:spacing w:line="360" w:lineRule="auto"/>
        <w:rPr>
          <w:rFonts w:ascii="Arial" w:hAnsi="Arial" w:cs="Arial"/>
        </w:rPr>
      </w:pPr>
    </w:p>
    <w:p w:rsidR="006D1B4D" w:rsidRDefault="00837628"/>
    <w:sectPr w:rsidR="006D1B4D" w:rsidSect="002F32D9">
      <w:headerReference w:type="default" r:id="rId8"/>
      <w:footerReference w:type="even" r:id="rId9"/>
      <w:footerReference w:type="default" r:id="rId10"/>
      <w:pgSz w:w="11906" w:h="16838"/>
      <w:pgMar w:top="1134" w:right="1134" w:bottom="1168" w:left="1701" w:header="357" w:footer="9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FAC" w:rsidRDefault="005F0FAC" w:rsidP="005F0FAC">
      <w:r>
        <w:separator/>
      </w:r>
    </w:p>
  </w:endnote>
  <w:endnote w:type="continuationSeparator" w:id="0">
    <w:p w:rsidR="005F0FAC" w:rsidRDefault="005F0FAC" w:rsidP="005F0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AB0" w:rsidRDefault="00837628">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484AB0" w:rsidRDefault="00837628">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AB0" w:rsidRDefault="00837628" w:rsidP="009D28DA">
    <w:pPr>
      <w:pStyle w:val="Rodap"/>
      <w:framePr w:h="421" w:hRule="exact" w:wrap="around" w:vAnchor="text" w:hAnchor="page" w:x="6202" w:y="282"/>
      <w:rPr>
        <w:rStyle w:val="Nmerodepgina"/>
        <w:i/>
        <w:sz w:val="16"/>
        <w:u w:val="single"/>
      </w:rPr>
    </w:pPr>
  </w:p>
  <w:p w:rsidR="00484AB0" w:rsidRDefault="00837628" w:rsidP="009D28DA">
    <w:pPr>
      <w:pStyle w:val="Rodap"/>
      <w:framePr w:h="421" w:hRule="exact" w:wrap="around" w:vAnchor="text" w:hAnchor="page" w:x="6202" w:y="282"/>
      <w:rPr>
        <w:rStyle w:val="Nmerodepgina"/>
        <w:i/>
        <w:sz w:val="16"/>
        <w:u w:val="single"/>
      </w:rPr>
    </w:pPr>
    <w:r>
      <w:rPr>
        <w:rStyle w:val="Nmerodepgina"/>
        <w:i/>
        <w:sz w:val="16"/>
        <w:u w:val="single"/>
      </w:rPr>
      <w:fldChar w:fldCharType="begin"/>
    </w:r>
    <w:r>
      <w:rPr>
        <w:rStyle w:val="Nmerodepgina"/>
        <w:i/>
        <w:sz w:val="16"/>
        <w:u w:val="single"/>
      </w:rPr>
      <w:instrText xml:space="preserve">PAGE  </w:instrText>
    </w:r>
    <w:r>
      <w:rPr>
        <w:rStyle w:val="Nmerodepgina"/>
        <w:i/>
        <w:sz w:val="16"/>
        <w:u w:val="single"/>
      </w:rPr>
      <w:fldChar w:fldCharType="separate"/>
    </w:r>
    <w:r>
      <w:rPr>
        <w:rStyle w:val="Nmerodepgina"/>
        <w:i/>
        <w:noProof/>
        <w:sz w:val="16"/>
        <w:u w:val="single"/>
      </w:rPr>
      <w:t>11</w:t>
    </w:r>
    <w:r>
      <w:rPr>
        <w:rStyle w:val="Nmerodepgina"/>
        <w:i/>
        <w:sz w:val="16"/>
        <w:u w:val="single"/>
      </w:rPr>
      <w:fldChar w:fldCharType="end"/>
    </w:r>
  </w:p>
  <w:p w:rsidR="00484AB0" w:rsidRPr="002F32D9" w:rsidRDefault="00837628" w:rsidP="002F32D9">
    <w:pPr>
      <w:pStyle w:val="Rodap"/>
      <w:rPr>
        <w:rFonts w:ascii="Arial" w:hAnsi="Arial" w:cs="Arial"/>
        <w:i/>
        <w:iCs/>
        <w:sz w:val="16"/>
        <w:szCs w:val="16"/>
      </w:rPr>
    </w:pPr>
    <w:r w:rsidRPr="002F32D9">
      <w:rPr>
        <w:rFonts w:ascii="Arial" w:hAnsi="Arial" w:cs="Arial"/>
        <w:i/>
        <w:sz w:val="16"/>
        <w:szCs w:val="16"/>
      </w:rPr>
      <w:t>Ministério Público de Contas do Estado do Piauí</w:t>
    </w:r>
  </w:p>
  <w:p w:rsidR="00484AB0" w:rsidRPr="002F32D9" w:rsidRDefault="00837628" w:rsidP="002F32D9">
    <w:pPr>
      <w:pStyle w:val="Rodap"/>
      <w:rPr>
        <w:rFonts w:ascii="Arial" w:hAnsi="Arial" w:cs="Arial"/>
        <w:i/>
        <w:iCs/>
        <w:sz w:val="16"/>
        <w:szCs w:val="16"/>
      </w:rPr>
    </w:pPr>
    <w:r w:rsidRPr="002F32D9">
      <w:rPr>
        <w:rFonts w:ascii="Arial" w:hAnsi="Arial" w:cs="Arial"/>
        <w:i/>
        <w:sz w:val="16"/>
        <w:szCs w:val="16"/>
      </w:rPr>
      <w:t>Av. Pedro Freitas nº 2100, prédio do TCE-PI, 3º andar, CEP:</w:t>
    </w:r>
    <w:r w:rsidRPr="002F32D9">
      <w:rPr>
        <w:rFonts w:ascii="Arial" w:hAnsi="Arial" w:cs="Arial"/>
        <w:i/>
        <w:sz w:val="16"/>
        <w:szCs w:val="16"/>
      </w:rPr>
      <w:t xml:space="preserve"> 64.018-900 - Teresina-</w:t>
    </w:r>
    <w:proofErr w:type="gramStart"/>
    <w:r w:rsidRPr="002F32D9">
      <w:rPr>
        <w:rFonts w:ascii="Arial" w:hAnsi="Arial" w:cs="Arial"/>
        <w:i/>
        <w:sz w:val="16"/>
        <w:szCs w:val="16"/>
      </w:rPr>
      <w:t>PI</w:t>
    </w:r>
    <w:proofErr w:type="gramEnd"/>
  </w:p>
  <w:p w:rsidR="00484AB0" w:rsidRPr="002F32D9" w:rsidRDefault="00837628" w:rsidP="002F32D9">
    <w:pPr>
      <w:pStyle w:val="Rodap"/>
      <w:rPr>
        <w:rFonts w:ascii="Arial" w:hAnsi="Arial" w:cs="Arial"/>
        <w:i/>
        <w:iCs/>
        <w:sz w:val="16"/>
        <w:szCs w:val="16"/>
      </w:rPr>
    </w:pPr>
    <w:r w:rsidRPr="002F32D9">
      <w:rPr>
        <w:rFonts w:ascii="Arial" w:hAnsi="Arial" w:cs="Arial"/>
        <w:i/>
        <w:sz w:val="16"/>
        <w:szCs w:val="16"/>
      </w:rPr>
      <w:t xml:space="preserve">Fone: </w:t>
    </w:r>
    <w:smartTag w:uri="urn:schemas-microsoft-com:office:smarttags" w:element="phone">
      <w:smartTagPr>
        <w:attr w:uri="urn:schemas-microsoft-com:office:office" w:name="ls" w:val="trans"/>
      </w:smartTagPr>
      <w:r w:rsidRPr="002F32D9">
        <w:rPr>
          <w:rFonts w:ascii="Arial" w:hAnsi="Arial" w:cs="Arial"/>
          <w:i/>
          <w:sz w:val="16"/>
          <w:szCs w:val="16"/>
        </w:rPr>
        <w:t>(86) 3215-3882</w:t>
      </w:r>
    </w:smartTag>
  </w:p>
  <w:p w:rsidR="00484AB0" w:rsidRDefault="00837628" w:rsidP="002F32D9">
    <w:pPr>
      <w:pStyle w:val="Rodap"/>
      <w:pBdr>
        <w:bottom w:val="single" w:sz="4" w:space="1" w:color="auto"/>
      </w:pBd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FAC" w:rsidRDefault="005F0FAC" w:rsidP="005F0FAC">
      <w:r>
        <w:separator/>
      </w:r>
    </w:p>
  </w:footnote>
  <w:footnote w:type="continuationSeparator" w:id="0">
    <w:p w:rsidR="005F0FAC" w:rsidRDefault="005F0FAC" w:rsidP="005F0FAC">
      <w:r>
        <w:continuationSeparator/>
      </w:r>
    </w:p>
  </w:footnote>
  <w:footnote w:id="1">
    <w:p w:rsidR="005F0FAC" w:rsidRPr="0058676B" w:rsidRDefault="005F0FAC" w:rsidP="005F0FAC">
      <w:pPr>
        <w:pStyle w:val="NormalWeb"/>
        <w:tabs>
          <w:tab w:val="left" w:pos="0"/>
        </w:tabs>
        <w:spacing w:before="0" w:beforeAutospacing="0" w:after="0" w:afterAutospacing="0"/>
        <w:jc w:val="both"/>
        <w:rPr>
          <w:rFonts w:ascii="Arial" w:eastAsia="Calibri" w:hAnsi="Arial" w:cs="Arial"/>
          <w:color w:val="000000"/>
          <w:sz w:val="16"/>
          <w:szCs w:val="16"/>
          <w:shd w:val="clear" w:color="auto" w:fill="FFFFFF"/>
          <w:lang w:eastAsia="en-US"/>
        </w:rPr>
      </w:pPr>
      <w:r w:rsidRPr="0058676B">
        <w:rPr>
          <w:rStyle w:val="Refdenotaderodap"/>
          <w:sz w:val="16"/>
          <w:szCs w:val="16"/>
        </w:rPr>
        <w:footnoteRef/>
      </w:r>
      <w:r w:rsidRPr="0058676B">
        <w:rPr>
          <w:sz w:val="16"/>
          <w:szCs w:val="16"/>
        </w:rPr>
        <w:t xml:space="preserve"> </w:t>
      </w:r>
      <w:r w:rsidRPr="0058676B">
        <w:rPr>
          <w:rFonts w:ascii="Arial" w:eastAsia="Calibri" w:hAnsi="Arial" w:cs="Arial"/>
          <w:color w:val="000000"/>
          <w:sz w:val="16"/>
          <w:szCs w:val="16"/>
          <w:shd w:val="clear" w:color="auto" w:fill="FFFFFF"/>
          <w:lang w:eastAsia="en-US"/>
        </w:rPr>
        <w:t>Art. 70. A fiscalização contábil, financeira, orçamentária, operacional e patrimonial da União e das entidades da administração direta e indireta, quanto à legalidade, legitimidade, economicidade, aplicação das subvenções e renúncia de receitas, será exercida pelo Congresso Nacional, mediante controle externo, e pelo sistema de controle interno de cada Poder.</w:t>
      </w:r>
    </w:p>
    <w:p w:rsidR="005F0FAC" w:rsidRPr="002A792D" w:rsidRDefault="005F0FAC" w:rsidP="005F0FAC">
      <w:pPr>
        <w:pStyle w:val="NormalWeb"/>
        <w:tabs>
          <w:tab w:val="left" w:pos="0"/>
        </w:tabs>
        <w:spacing w:before="0" w:beforeAutospacing="0" w:after="0" w:afterAutospacing="0"/>
        <w:jc w:val="both"/>
        <w:rPr>
          <w:rFonts w:ascii="Arial" w:eastAsia="Calibri" w:hAnsi="Arial" w:cs="Arial"/>
          <w:color w:val="000000"/>
          <w:sz w:val="16"/>
          <w:szCs w:val="16"/>
          <w:shd w:val="clear" w:color="auto" w:fill="FFFFFF"/>
          <w:lang w:eastAsia="en-US"/>
        </w:rPr>
      </w:pPr>
      <w:r w:rsidRPr="0058676B">
        <w:rPr>
          <w:rFonts w:ascii="Arial" w:eastAsia="Calibri" w:hAnsi="Arial" w:cs="Arial"/>
          <w:color w:val="000000"/>
          <w:sz w:val="16"/>
          <w:szCs w:val="16"/>
          <w:shd w:val="clear" w:color="auto" w:fill="FFFFFF"/>
          <w:lang w:eastAsia="en-US"/>
        </w:rPr>
        <w:t xml:space="preserve">Parágrafo único. </w:t>
      </w:r>
      <w:proofErr w:type="gramStart"/>
      <w:r w:rsidRPr="0058676B">
        <w:rPr>
          <w:rFonts w:ascii="Arial" w:eastAsia="Calibri" w:hAnsi="Arial" w:cs="Arial"/>
          <w:color w:val="000000"/>
          <w:sz w:val="16"/>
          <w:szCs w:val="16"/>
          <w:shd w:val="clear" w:color="auto" w:fill="FFFFFF"/>
          <w:lang w:eastAsia="en-US"/>
        </w:rPr>
        <w:t>Prestará</w:t>
      </w:r>
      <w:proofErr w:type="gramEnd"/>
      <w:r w:rsidRPr="0058676B">
        <w:rPr>
          <w:rFonts w:ascii="Arial" w:eastAsia="Calibri" w:hAnsi="Arial" w:cs="Arial"/>
          <w:color w:val="000000"/>
          <w:sz w:val="16"/>
          <w:szCs w:val="16"/>
          <w:shd w:val="clear" w:color="auto" w:fill="FFFFFF"/>
          <w:lang w:eastAsia="en-US"/>
        </w:rPr>
        <w:t xml:space="preserve"> contas qualquer pessoa física ou jurídica, pública ou privada, que utilize, arrecade, guarde, gerencie ou administre dinheiros, bens e valores públicos ou pelos quais a União responda, ou que, em nome desta, assuma obrigações de natureza pecuniária.</w:t>
      </w:r>
    </w:p>
  </w:footnote>
  <w:footnote w:id="2">
    <w:p w:rsidR="005F0FAC" w:rsidRPr="00630F9F" w:rsidRDefault="005F0FAC" w:rsidP="005F0FAC">
      <w:pPr>
        <w:pStyle w:val="Textodenotaderodap"/>
        <w:rPr>
          <w:rFonts w:ascii="Arial" w:hAnsi="Arial" w:cs="Arial"/>
          <w:color w:val="000000"/>
          <w:sz w:val="16"/>
          <w:szCs w:val="16"/>
          <w:shd w:val="clear" w:color="auto" w:fill="FFFFFF"/>
        </w:rPr>
      </w:pPr>
      <w:r w:rsidRPr="002A792D">
        <w:rPr>
          <w:rFonts w:ascii="Arial" w:hAnsi="Arial" w:cs="Arial"/>
          <w:color w:val="000000"/>
          <w:sz w:val="16"/>
          <w:szCs w:val="16"/>
          <w:shd w:val="clear" w:color="auto" w:fill="FFFFFF"/>
        </w:rPr>
        <w:footnoteRef/>
      </w:r>
      <w:r w:rsidRPr="002A792D">
        <w:rPr>
          <w:rFonts w:ascii="Arial" w:hAnsi="Arial" w:cs="Arial"/>
          <w:color w:val="000000"/>
          <w:sz w:val="16"/>
          <w:szCs w:val="16"/>
          <w:shd w:val="clear" w:color="auto" w:fill="FFFFFF"/>
        </w:rPr>
        <w:t xml:space="preserve"> (STF - SS: 4878 </w:t>
      </w:r>
      <w:proofErr w:type="gramStart"/>
      <w:r w:rsidRPr="002A792D">
        <w:rPr>
          <w:rFonts w:ascii="Arial" w:hAnsi="Arial" w:cs="Arial"/>
          <w:color w:val="000000"/>
          <w:sz w:val="16"/>
          <w:szCs w:val="16"/>
          <w:shd w:val="clear" w:color="auto" w:fill="FFFFFF"/>
        </w:rPr>
        <w:t>RN ,</w:t>
      </w:r>
      <w:proofErr w:type="gramEnd"/>
      <w:r w:rsidRPr="002A792D">
        <w:rPr>
          <w:rFonts w:ascii="Arial" w:hAnsi="Arial" w:cs="Arial"/>
          <w:color w:val="000000"/>
          <w:sz w:val="16"/>
          <w:szCs w:val="16"/>
          <w:shd w:val="clear" w:color="auto" w:fill="FFFFFF"/>
        </w:rPr>
        <w:t xml:space="preserve"> Relator: Min. Presidente, Data de Julgamento: 14/03/2014, Data de Publicação: DJe-053 DIVULG 17/03/2014 PUBLIC 18/03/2014)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AB0" w:rsidRDefault="00837628" w:rsidP="002F32D9">
    <w:pPr>
      <w:pStyle w:val="Cabealho"/>
      <w:tabs>
        <w:tab w:val="center" w:pos="5103"/>
        <w:tab w:val="left" w:pos="6096"/>
        <w:tab w:val="left" w:pos="6521"/>
      </w:tabs>
      <w:jc w:val="right"/>
      <w:rPr>
        <w:sz w:val="14"/>
        <w:szCs w:val="14"/>
      </w:rPr>
    </w:pPr>
  </w:p>
  <w:tbl>
    <w:tblPr>
      <w:tblW w:w="10005" w:type="dxa"/>
      <w:tblInd w:w="-34" w:type="dxa"/>
      <w:tblLayout w:type="fixed"/>
      <w:tblLook w:val="01E0" w:firstRow="1" w:lastRow="1" w:firstColumn="1" w:lastColumn="1" w:noHBand="0" w:noVBand="0"/>
    </w:tblPr>
    <w:tblGrid>
      <w:gridCol w:w="9464"/>
      <w:gridCol w:w="541"/>
    </w:tblGrid>
    <w:tr w:rsidR="00484AB0" w:rsidTr="00250271">
      <w:trPr>
        <w:trHeight w:val="1612"/>
      </w:trPr>
      <w:tc>
        <w:tcPr>
          <w:tcW w:w="9464" w:type="dxa"/>
        </w:tcPr>
        <w:tbl>
          <w:tblPr>
            <w:tblW w:w="9390" w:type="dxa"/>
            <w:tblBorders>
              <w:bottom w:val="single" w:sz="4" w:space="0" w:color="auto"/>
            </w:tblBorders>
            <w:tblLayout w:type="fixed"/>
            <w:tblLook w:val="01E0" w:firstRow="1" w:lastRow="1" w:firstColumn="1" w:lastColumn="1" w:noHBand="0" w:noVBand="0"/>
          </w:tblPr>
          <w:tblGrid>
            <w:gridCol w:w="2232"/>
            <w:gridCol w:w="5083"/>
            <w:gridCol w:w="2075"/>
          </w:tblGrid>
          <w:tr w:rsidR="00484AB0" w:rsidTr="00250271">
            <w:trPr>
              <w:trHeight w:val="1688"/>
            </w:trPr>
            <w:tc>
              <w:tcPr>
                <w:tcW w:w="2232" w:type="dxa"/>
                <w:tcBorders>
                  <w:bottom w:val="single" w:sz="4" w:space="0" w:color="auto"/>
                </w:tcBorders>
                <w:vAlign w:val="center"/>
              </w:tcPr>
              <w:p w:rsidR="00484AB0" w:rsidRPr="00847D3F" w:rsidRDefault="00837628" w:rsidP="00250271">
                <w:pPr>
                  <w:pStyle w:val="Cabealho"/>
                </w:pPr>
                <w:r>
                  <w:rPr>
                    <w:noProof/>
                  </w:rPr>
                  <w:drawing>
                    <wp:inline distT="0" distB="0" distL="0" distR="0" wp14:anchorId="2E729610" wp14:editId="7CF3B5C8">
                      <wp:extent cx="704850" cy="923925"/>
                      <wp:effectExtent l="19050" t="0" r="0" b="0"/>
                      <wp:docPr id="1" name="Imagem 1" descr="LogoT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Tce"/>
                              <pic:cNvPicPr>
                                <a:picLocks noChangeAspect="1" noChangeArrowheads="1"/>
                              </pic:cNvPicPr>
                            </pic:nvPicPr>
                            <pic:blipFill>
                              <a:blip r:embed="rId1"/>
                              <a:srcRect/>
                              <a:stretch>
                                <a:fillRect/>
                              </a:stretch>
                            </pic:blipFill>
                            <pic:spPr bwMode="auto">
                              <a:xfrm>
                                <a:off x="0" y="0"/>
                                <a:ext cx="704850" cy="923925"/>
                              </a:xfrm>
                              <a:prstGeom prst="rect">
                                <a:avLst/>
                              </a:prstGeom>
                              <a:noFill/>
                              <a:ln w="9525">
                                <a:noFill/>
                                <a:miter lim="800000"/>
                                <a:headEnd/>
                                <a:tailEnd/>
                              </a:ln>
                            </pic:spPr>
                          </pic:pic>
                        </a:graphicData>
                      </a:graphic>
                    </wp:inline>
                  </w:drawing>
                </w:r>
              </w:p>
            </w:tc>
            <w:tc>
              <w:tcPr>
                <w:tcW w:w="5083" w:type="dxa"/>
                <w:tcBorders>
                  <w:bottom w:val="single" w:sz="4" w:space="0" w:color="auto"/>
                </w:tcBorders>
                <w:vAlign w:val="center"/>
              </w:tcPr>
              <w:p w:rsidR="00484AB0" w:rsidRPr="003452BC" w:rsidRDefault="00837628" w:rsidP="00250271">
                <w:pPr>
                  <w:jc w:val="center"/>
                </w:pPr>
              </w:p>
              <w:p w:rsidR="00484AB0" w:rsidRPr="003452BC" w:rsidRDefault="00837628" w:rsidP="00250271">
                <w:pPr>
                  <w:spacing w:line="360" w:lineRule="auto"/>
                  <w:rPr>
                    <w:rFonts w:ascii="Tahoma" w:hAnsi="Tahoma" w:cs="Tahoma"/>
                    <w:sz w:val="28"/>
                    <w:szCs w:val="28"/>
                  </w:rPr>
                </w:pPr>
                <w:r w:rsidRPr="003452BC">
                  <w:rPr>
                    <w:rFonts w:ascii="Tahoma" w:hAnsi="Tahoma" w:cs="Tahoma"/>
                    <w:sz w:val="28"/>
                    <w:szCs w:val="28"/>
                  </w:rPr>
                  <w:t>Estado do Piauí</w:t>
                </w:r>
              </w:p>
              <w:p w:rsidR="00484AB0" w:rsidRPr="00847D3F" w:rsidRDefault="00837628" w:rsidP="00250271">
                <w:pPr>
                  <w:pStyle w:val="Cabealho"/>
                  <w:spacing w:line="360" w:lineRule="auto"/>
                  <w:rPr>
                    <w:rFonts w:ascii="Tahoma" w:hAnsi="Tahoma" w:cs="Tahoma"/>
                    <w:b/>
                    <w:sz w:val="28"/>
                    <w:szCs w:val="28"/>
                  </w:rPr>
                </w:pPr>
                <w:r w:rsidRPr="00847D3F">
                  <w:rPr>
                    <w:rFonts w:ascii="Tahoma" w:hAnsi="Tahoma" w:cs="Tahoma"/>
                    <w:sz w:val="28"/>
                    <w:szCs w:val="28"/>
                  </w:rPr>
                  <w:t>Ministério Público de Contas</w:t>
                </w:r>
              </w:p>
            </w:tc>
            <w:tc>
              <w:tcPr>
                <w:tcW w:w="2075" w:type="dxa"/>
                <w:tcBorders>
                  <w:bottom w:val="single" w:sz="4" w:space="0" w:color="auto"/>
                </w:tcBorders>
                <w:vAlign w:val="center"/>
              </w:tcPr>
              <w:p w:rsidR="00484AB0" w:rsidRPr="00847D3F" w:rsidRDefault="00837628" w:rsidP="00250271">
                <w:pPr>
                  <w:pStyle w:val="Cabealho"/>
                  <w:jc w:val="right"/>
                </w:pPr>
                <w:r>
                  <w:rPr>
                    <w:noProof/>
                  </w:rPr>
                  <w:drawing>
                    <wp:inline distT="0" distB="0" distL="0" distR="0" wp14:anchorId="2A260BB7" wp14:editId="109C2494">
                      <wp:extent cx="904875" cy="990600"/>
                      <wp:effectExtent l="19050" t="0" r="9525" b="0"/>
                      <wp:docPr id="2"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pic:cNvPicPr>
                                <a:picLocks noChangeAspect="1" noChangeArrowheads="1"/>
                              </pic:cNvPicPr>
                            </pic:nvPicPr>
                            <pic:blipFill>
                              <a:blip r:embed="rId2"/>
                              <a:srcRect/>
                              <a:stretch>
                                <a:fillRect/>
                              </a:stretch>
                            </pic:blipFill>
                            <pic:spPr bwMode="auto">
                              <a:xfrm>
                                <a:off x="0" y="0"/>
                                <a:ext cx="904875" cy="990600"/>
                              </a:xfrm>
                              <a:prstGeom prst="rect">
                                <a:avLst/>
                              </a:prstGeom>
                              <a:noFill/>
                              <a:ln w="9525">
                                <a:noFill/>
                                <a:miter lim="800000"/>
                                <a:headEnd/>
                                <a:tailEnd/>
                              </a:ln>
                            </pic:spPr>
                          </pic:pic>
                        </a:graphicData>
                      </a:graphic>
                    </wp:inline>
                  </w:drawing>
                </w:r>
              </w:p>
            </w:tc>
          </w:tr>
        </w:tbl>
        <w:p w:rsidR="00484AB0" w:rsidRPr="00847D3F" w:rsidRDefault="00837628" w:rsidP="00250271">
          <w:pPr>
            <w:pStyle w:val="Cabealho"/>
            <w:jc w:val="right"/>
            <w:rPr>
              <w:sz w:val="16"/>
              <w:szCs w:val="16"/>
            </w:rPr>
          </w:pPr>
        </w:p>
      </w:tc>
      <w:tc>
        <w:tcPr>
          <w:tcW w:w="541" w:type="dxa"/>
        </w:tcPr>
        <w:p w:rsidR="00484AB0" w:rsidRPr="00847D3F" w:rsidRDefault="00837628" w:rsidP="00250271">
          <w:pPr>
            <w:pStyle w:val="Cabealho"/>
            <w:jc w:val="center"/>
            <w:rPr>
              <w:sz w:val="16"/>
              <w:szCs w:val="16"/>
            </w:rPr>
          </w:pPr>
        </w:p>
      </w:tc>
    </w:tr>
  </w:tbl>
  <w:p w:rsidR="00484AB0" w:rsidRPr="002F32D9" w:rsidRDefault="00837628" w:rsidP="002F32D9">
    <w:pPr>
      <w:pStyle w:val="Cabealho"/>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26F59"/>
    <w:multiLevelType w:val="hybridMultilevel"/>
    <w:tmpl w:val="550E535C"/>
    <w:lvl w:ilvl="0" w:tplc="87041574">
      <w:start w:val="1"/>
      <w:numFmt w:val="lowerLetter"/>
      <w:lvlText w:val="%1)"/>
      <w:lvlJc w:val="left"/>
      <w:pPr>
        <w:tabs>
          <w:tab w:val="num" w:pos="4560"/>
        </w:tabs>
        <w:ind w:left="4560" w:hanging="240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FAC"/>
    <w:rsid w:val="005108AA"/>
    <w:rsid w:val="005F0FAC"/>
    <w:rsid w:val="00837628"/>
    <w:rsid w:val="00AA72D6"/>
    <w:rsid w:val="00DB67F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FAC"/>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5F0FAC"/>
    <w:pPr>
      <w:tabs>
        <w:tab w:val="center" w:pos="4252"/>
        <w:tab w:val="right" w:pos="8504"/>
      </w:tabs>
    </w:pPr>
  </w:style>
  <w:style w:type="character" w:customStyle="1" w:styleId="CabealhoChar">
    <w:name w:val="Cabeçalho Char"/>
    <w:basedOn w:val="Fontepargpadro"/>
    <w:link w:val="Cabealho"/>
    <w:uiPriority w:val="99"/>
    <w:rsid w:val="005F0FAC"/>
    <w:rPr>
      <w:rFonts w:ascii="Times New Roman" w:eastAsia="Times New Roman" w:hAnsi="Times New Roman" w:cs="Times New Roman"/>
      <w:sz w:val="20"/>
      <w:szCs w:val="20"/>
      <w:lang w:eastAsia="pt-BR"/>
    </w:rPr>
  </w:style>
  <w:style w:type="paragraph" w:styleId="Rodap">
    <w:name w:val="footer"/>
    <w:basedOn w:val="Normal"/>
    <w:link w:val="RodapChar"/>
    <w:uiPriority w:val="99"/>
    <w:rsid w:val="005F0FAC"/>
    <w:pPr>
      <w:tabs>
        <w:tab w:val="center" w:pos="4252"/>
        <w:tab w:val="right" w:pos="8504"/>
      </w:tabs>
    </w:pPr>
  </w:style>
  <w:style w:type="character" w:customStyle="1" w:styleId="RodapChar">
    <w:name w:val="Rodapé Char"/>
    <w:basedOn w:val="Fontepargpadro"/>
    <w:link w:val="Rodap"/>
    <w:uiPriority w:val="99"/>
    <w:rsid w:val="005F0FAC"/>
    <w:rPr>
      <w:rFonts w:ascii="Times New Roman" w:eastAsia="Times New Roman" w:hAnsi="Times New Roman" w:cs="Times New Roman"/>
      <w:sz w:val="20"/>
      <w:szCs w:val="20"/>
      <w:lang w:eastAsia="pt-BR"/>
    </w:rPr>
  </w:style>
  <w:style w:type="character" w:styleId="Nmerodepgina">
    <w:name w:val="page number"/>
    <w:basedOn w:val="Fontepargpadro"/>
    <w:rsid w:val="005F0FAC"/>
  </w:style>
  <w:style w:type="paragraph" w:styleId="NormalWeb">
    <w:name w:val="Normal (Web)"/>
    <w:basedOn w:val="Normal"/>
    <w:uiPriority w:val="99"/>
    <w:rsid w:val="005F0FAC"/>
    <w:pPr>
      <w:spacing w:before="100" w:beforeAutospacing="1" w:after="100" w:afterAutospacing="1"/>
    </w:pPr>
    <w:rPr>
      <w:sz w:val="24"/>
      <w:szCs w:val="24"/>
    </w:rPr>
  </w:style>
  <w:style w:type="paragraph" w:styleId="Recuodecorpodetexto">
    <w:name w:val="Body Text Indent"/>
    <w:basedOn w:val="Normal"/>
    <w:link w:val="RecuodecorpodetextoChar"/>
    <w:rsid w:val="005F0FAC"/>
    <w:pPr>
      <w:ind w:left="3960"/>
      <w:jc w:val="both"/>
    </w:pPr>
    <w:rPr>
      <w:i/>
      <w:iCs/>
      <w:sz w:val="24"/>
      <w:szCs w:val="24"/>
    </w:rPr>
  </w:style>
  <w:style w:type="character" w:customStyle="1" w:styleId="RecuodecorpodetextoChar">
    <w:name w:val="Recuo de corpo de texto Char"/>
    <w:basedOn w:val="Fontepargpadro"/>
    <w:link w:val="Recuodecorpodetexto"/>
    <w:rsid w:val="005F0FAC"/>
    <w:rPr>
      <w:rFonts w:ascii="Times New Roman" w:eastAsia="Times New Roman" w:hAnsi="Times New Roman" w:cs="Times New Roman"/>
      <w:i/>
      <w:iCs/>
      <w:sz w:val="24"/>
      <w:szCs w:val="24"/>
      <w:lang w:eastAsia="pt-BR"/>
    </w:rPr>
  </w:style>
  <w:style w:type="paragraph" w:styleId="PargrafodaLista">
    <w:name w:val="List Paragraph"/>
    <w:basedOn w:val="Normal"/>
    <w:uiPriority w:val="34"/>
    <w:qFormat/>
    <w:rsid w:val="005F0FAC"/>
    <w:pPr>
      <w:ind w:left="708"/>
    </w:pPr>
  </w:style>
  <w:style w:type="paragraph" w:styleId="Textodenotaderodap">
    <w:name w:val="footnote text"/>
    <w:basedOn w:val="Normal"/>
    <w:link w:val="TextodenotaderodapChar"/>
    <w:unhideWhenUsed/>
    <w:rsid w:val="005F0FAC"/>
    <w:rPr>
      <w:rFonts w:ascii="Calibri" w:eastAsia="Calibri" w:hAnsi="Calibri"/>
      <w:lang w:eastAsia="en-US"/>
    </w:rPr>
  </w:style>
  <w:style w:type="character" w:customStyle="1" w:styleId="TextodenotaderodapChar">
    <w:name w:val="Texto de nota de rodapé Char"/>
    <w:basedOn w:val="Fontepargpadro"/>
    <w:link w:val="Textodenotaderodap"/>
    <w:rsid w:val="005F0FAC"/>
    <w:rPr>
      <w:rFonts w:ascii="Calibri" w:eastAsia="Calibri" w:hAnsi="Calibri" w:cs="Times New Roman"/>
      <w:sz w:val="20"/>
      <w:szCs w:val="20"/>
    </w:rPr>
  </w:style>
  <w:style w:type="character" w:styleId="Refdenotaderodap">
    <w:name w:val="footnote reference"/>
    <w:unhideWhenUsed/>
    <w:rsid w:val="005F0FAC"/>
    <w:rPr>
      <w:vertAlign w:val="superscript"/>
    </w:rPr>
  </w:style>
  <w:style w:type="paragraph" w:styleId="Textodebalo">
    <w:name w:val="Balloon Text"/>
    <w:basedOn w:val="Normal"/>
    <w:link w:val="TextodebaloChar"/>
    <w:uiPriority w:val="99"/>
    <w:semiHidden/>
    <w:unhideWhenUsed/>
    <w:rsid w:val="005F0FAC"/>
    <w:rPr>
      <w:rFonts w:ascii="Tahoma" w:hAnsi="Tahoma" w:cs="Tahoma"/>
      <w:sz w:val="16"/>
      <w:szCs w:val="16"/>
    </w:rPr>
  </w:style>
  <w:style w:type="character" w:customStyle="1" w:styleId="TextodebaloChar">
    <w:name w:val="Texto de balão Char"/>
    <w:basedOn w:val="Fontepargpadro"/>
    <w:link w:val="Textodebalo"/>
    <w:uiPriority w:val="99"/>
    <w:semiHidden/>
    <w:rsid w:val="005F0FAC"/>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FAC"/>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5F0FAC"/>
    <w:pPr>
      <w:tabs>
        <w:tab w:val="center" w:pos="4252"/>
        <w:tab w:val="right" w:pos="8504"/>
      </w:tabs>
    </w:pPr>
  </w:style>
  <w:style w:type="character" w:customStyle="1" w:styleId="CabealhoChar">
    <w:name w:val="Cabeçalho Char"/>
    <w:basedOn w:val="Fontepargpadro"/>
    <w:link w:val="Cabealho"/>
    <w:uiPriority w:val="99"/>
    <w:rsid w:val="005F0FAC"/>
    <w:rPr>
      <w:rFonts w:ascii="Times New Roman" w:eastAsia="Times New Roman" w:hAnsi="Times New Roman" w:cs="Times New Roman"/>
      <w:sz w:val="20"/>
      <w:szCs w:val="20"/>
      <w:lang w:eastAsia="pt-BR"/>
    </w:rPr>
  </w:style>
  <w:style w:type="paragraph" w:styleId="Rodap">
    <w:name w:val="footer"/>
    <w:basedOn w:val="Normal"/>
    <w:link w:val="RodapChar"/>
    <w:uiPriority w:val="99"/>
    <w:rsid w:val="005F0FAC"/>
    <w:pPr>
      <w:tabs>
        <w:tab w:val="center" w:pos="4252"/>
        <w:tab w:val="right" w:pos="8504"/>
      </w:tabs>
    </w:pPr>
  </w:style>
  <w:style w:type="character" w:customStyle="1" w:styleId="RodapChar">
    <w:name w:val="Rodapé Char"/>
    <w:basedOn w:val="Fontepargpadro"/>
    <w:link w:val="Rodap"/>
    <w:uiPriority w:val="99"/>
    <w:rsid w:val="005F0FAC"/>
    <w:rPr>
      <w:rFonts w:ascii="Times New Roman" w:eastAsia="Times New Roman" w:hAnsi="Times New Roman" w:cs="Times New Roman"/>
      <w:sz w:val="20"/>
      <w:szCs w:val="20"/>
      <w:lang w:eastAsia="pt-BR"/>
    </w:rPr>
  </w:style>
  <w:style w:type="character" w:styleId="Nmerodepgina">
    <w:name w:val="page number"/>
    <w:basedOn w:val="Fontepargpadro"/>
    <w:rsid w:val="005F0FAC"/>
  </w:style>
  <w:style w:type="paragraph" w:styleId="NormalWeb">
    <w:name w:val="Normal (Web)"/>
    <w:basedOn w:val="Normal"/>
    <w:uiPriority w:val="99"/>
    <w:rsid w:val="005F0FAC"/>
    <w:pPr>
      <w:spacing w:before="100" w:beforeAutospacing="1" w:after="100" w:afterAutospacing="1"/>
    </w:pPr>
    <w:rPr>
      <w:sz w:val="24"/>
      <w:szCs w:val="24"/>
    </w:rPr>
  </w:style>
  <w:style w:type="paragraph" w:styleId="Recuodecorpodetexto">
    <w:name w:val="Body Text Indent"/>
    <w:basedOn w:val="Normal"/>
    <w:link w:val="RecuodecorpodetextoChar"/>
    <w:rsid w:val="005F0FAC"/>
    <w:pPr>
      <w:ind w:left="3960"/>
      <w:jc w:val="both"/>
    </w:pPr>
    <w:rPr>
      <w:i/>
      <w:iCs/>
      <w:sz w:val="24"/>
      <w:szCs w:val="24"/>
    </w:rPr>
  </w:style>
  <w:style w:type="character" w:customStyle="1" w:styleId="RecuodecorpodetextoChar">
    <w:name w:val="Recuo de corpo de texto Char"/>
    <w:basedOn w:val="Fontepargpadro"/>
    <w:link w:val="Recuodecorpodetexto"/>
    <w:rsid w:val="005F0FAC"/>
    <w:rPr>
      <w:rFonts w:ascii="Times New Roman" w:eastAsia="Times New Roman" w:hAnsi="Times New Roman" w:cs="Times New Roman"/>
      <w:i/>
      <w:iCs/>
      <w:sz w:val="24"/>
      <w:szCs w:val="24"/>
      <w:lang w:eastAsia="pt-BR"/>
    </w:rPr>
  </w:style>
  <w:style w:type="paragraph" w:styleId="PargrafodaLista">
    <w:name w:val="List Paragraph"/>
    <w:basedOn w:val="Normal"/>
    <w:uiPriority w:val="34"/>
    <w:qFormat/>
    <w:rsid w:val="005F0FAC"/>
    <w:pPr>
      <w:ind w:left="708"/>
    </w:pPr>
  </w:style>
  <w:style w:type="paragraph" w:styleId="Textodenotaderodap">
    <w:name w:val="footnote text"/>
    <w:basedOn w:val="Normal"/>
    <w:link w:val="TextodenotaderodapChar"/>
    <w:unhideWhenUsed/>
    <w:rsid w:val="005F0FAC"/>
    <w:rPr>
      <w:rFonts w:ascii="Calibri" w:eastAsia="Calibri" w:hAnsi="Calibri"/>
      <w:lang w:eastAsia="en-US"/>
    </w:rPr>
  </w:style>
  <w:style w:type="character" w:customStyle="1" w:styleId="TextodenotaderodapChar">
    <w:name w:val="Texto de nota de rodapé Char"/>
    <w:basedOn w:val="Fontepargpadro"/>
    <w:link w:val="Textodenotaderodap"/>
    <w:rsid w:val="005F0FAC"/>
    <w:rPr>
      <w:rFonts w:ascii="Calibri" w:eastAsia="Calibri" w:hAnsi="Calibri" w:cs="Times New Roman"/>
      <w:sz w:val="20"/>
      <w:szCs w:val="20"/>
    </w:rPr>
  </w:style>
  <w:style w:type="character" w:styleId="Refdenotaderodap">
    <w:name w:val="footnote reference"/>
    <w:unhideWhenUsed/>
    <w:rsid w:val="005F0FAC"/>
    <w:rPr>
      <w:vertAlign w:val="superscript"/>
    </w:rPr>
  </w:style>
  <w:style w:type="paragraph" w:styleId="Textodebalo">
    <w:name w:val="Balloon Text"/>
    <w:basedOn w:val="Normal"/>
    <w:link w:val="TextodebaloChar"/>
    <w:uiPriority w:val="99"/>
    <w:semiHidden/>
    <w:unhideWhenUsed/>
    <w:rsid w:val="005F0FAC"/>
    <w:rPr>
      <w:rFonts w:ascii="Tahoma" w:hAnsi="Tahoma" w:cs="Tahoma"/>
      <w:sz w:val="16"/>
      <w:szCs w:val="16"/>
    </w:rPr>
  </w:style>
  <w:style w:type="character" w:customStyle="1" w:styleId="TextodebaloChar">
    <w:name w:val="Texto de balão Char"/>
    <w:basedOn w:val="Fontepargpadro"/>
    <w:link w:val="Textodebalo"/>
    <w:uiPriority w:val="99"/>
    <w:semiHidden/>
    <w:rsid w:val="005F0FAC"/>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3456</Words>
  <Characters>18664</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Eduardo de Araújo Sousa</dc:creator>
  <cp:lastModifiedBy>Luis Eduardo de Araújo Sousa</cp:lastModifiedBy>
  <cp:revision>2</cp:revision>
  <cp:lastPrinted>2018-10-03T15:11:00Z</cp:lastPrinted>
  <dcterms:created xsi:type="dcterms:W3CDTF">2018-10-03T15:02:00Z</dcterms:created>
  <dcterms:modified xsi:type="dcterms:W3CDTF">2018-10-03T16:40:00Z</dcterms:modified>
</cp:coreProperties>
</file>