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0"/>
        <w:tblW w:w="8509" w:type="dxa"/>
        <w:tblLayout w:type="fixed"/>
        <w:tblCellMar>
          <w:left w:w="0" w:type="dxa"/>
          <w:right w:w="0" w:type="dxa"/>
        </w:tblCellMar>
        <w:tblLook w:val="04A0" w:firstRow="1" w:lastRow="0" w:firstColumn="1" w:lastColumn="0" w:noHBand="0" w:noVBand="1"/>
      </w:tblPr>
      <w:tblGrid>
        <w:gridCol w:w="2820"/>
        <w:gridCol w:w="12"/>
        <w:gridCol w:w="99"/>
        <w:gridCol w:w="5578"/>
      </w:tblGrid>
      <w:tr w:rsidR="006537FE" w:rsidRPr="006537FE" w:rsidTr="000E04DE">
        <w:tc>
          <w:tcPr>
            <w:tcW w:w="8509" w:type="dxa"/>
            <w:gridSpan w:val="4"/>
          </w:tcPr>
          <w:p w:rsidR="006537FE" w:rsidRPr="006537FE" w:rsidRDefault="0050047B"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50047B">
              <w:rPr>
                <w:rFonts w:ascii="Palatino Linotype" w:eastAsia="Arial Unicode MS" w:hAnsi="Palatino Linotype"/>
                <w:b/>
                <w:bCs/>
                <w:smallCaps/>
                <w:spacing w:val="4"/>
                <w:sz w:val="26"/>
                <w:szCs w:val="24"/>
                <w:lang w:eastAsia="pt-BR"/>
              </w:rPr>
              <w:t>duas (4425 e 4357)</w:t>
            </w:r>
            <w:bookmarkStart w:id="0" w:name="_GoBack"/>
            <w:bookmarkEnd w:id="0"/>
            <w:r w:rsidR="006537FE" w:rsidRPr="006537FE">
              <w:rPr>
                <w:rFonts w:ascii="Palatino Linotype" w:eastAsia="Arial Unicode MS" w:hAnsi="Palatino Linotype"/>
                <w:b/>
                <w:bCs/>
                <w:smallCaps/>
                <w:spacing w:val="4"/>
                <w:sz w:val="26"/>
                <w:szCs w:val="24"/>
                <w:lang w:eastAsia="pt-BR"/>
              </w:rPr>
              <w:t>Arguição de Descumprimento de Preceito Fundamental 449 Distrito Federal</w:t>
            </w:r>
          </w:p>
        </w:tc>
      </w:tr>
      <w:tr w:rsidR="006537FE" w:rsidRPr="006537FE" w:rsidTr="000E04DE">
        <w:tc>
          <w:tcPr>
            <w:tcW w:w="2820"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Relator</w:t>
            </w:r>
          </w:p>
        </w:tc>
        <w:tc>
          <w:tcPr>
            <w:tcW w:w="111" w:type="dxa"/>
            <w:gridSpan w:val="2"/>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w:t>
            </w:r>
          </w:p>
        </w:tc>
        <w:tc>
          <w:tcPr>
            <w:tcW w:w="5578"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Min. Luiz Fux</w:t>
            </w:r>
          </w:p>
        </w:tc>
      </w:tr>
      <w:tr w:rsidR="006537FE" w:rsidRPr="006537FE" w:rsidTr="000E04DE">
        <w:tc>
          <w:tcPr>
            <w:tcW w:w="2832" w:type="dxa"/>
            <w:gridSpan w:val="2"/>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Reqte.(s)</w:t>
            </w:r>
          </w:p>
        </w:tc>
        <w:tc>
          <w:tcPr>
            <w:tcW w:w="99"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w:t>
            </w:r>
          </w:p>
        </w:tc>
        <w:tc>
          <w:tcPr>
            <w:tcW w:w="5578"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Partido Social Liberal</w:t>
            </w:r>
          </w:p>
        </w:tc>
      </w:tr>
      <w:tr w:rsidR="006537FE" w:rsidRPr="006537FE" w:rsidTr="000E04DE">
        <w:tc>
          <w:tcPr>
            <w:tcW w:w="2832" w:type="dxa"/>
            <w:gridSpan w:val="2"/>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Adv.(a/s)</w:t>
            </w:r>
          </w:p>
        </w:tc>
        <w:tc>
          <w:tcPr>
            <w:tcW w:w="99"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w:t>
            </w:r>
          </w:p>
        </w:tc>
        <w:tc>
          <w:tcPr>
            <w:tcW w:w="5578"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Rodrigo Saraiva Marinho e Outro(a/s)</w:t>
            </w:r>
          </w:p>
        </w:tc>
      </w:tr>
      <w:tr w:rsidR="006537FE" w:rsidRPr="006537FE" w:rsidTr="000E04DE">
        <w:tc>
          <w:tcPr>
            <w:tcW w:w="2832" w:type="dxa"/>
            <w:gridSpan w:val="2"/>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Intdo.(a/s)</w:t>
            </w:r>
          </w:p>
        </w:tc>
        <w:tc>
          <w:tcPr>
            <w:tcW w:w="99"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w:t>
            </w:r>
          </w:p>
        </w:tc>
        <w:tc>
          <w:tcPr>
            <w:tcW w:w="5578" w:type="dxa"/>
            <w:hideMark/>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Câmara Municipal de Fortaleza</w:t>
            </w:r>
          </w:p>
        </w:tc>
      </w:tr>
      <w:tr w:rsidR="006537FE" w:rsidRPr="006537FE" w:rsidTr="000E04DE">
        <w:tc>
          <w:tcPr>
            <w:tcW w:w="2832" w:type="dxa"/>
            <w:gridSpan w:val="2"/>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Intdo.(a/s)</w:t>
            </w:r>
          </w:p>
        </w:tc>
        <w:tc>
          <w:tcPr>
            <w:tcW w:w="99" w:type="dxa"/>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w:t>
            </w:r>
          </w:p>
        </w:tc>
        <w:tc>
          <w:tcPr>
            <w:tcW w:w="5578" w:type="dxa"/>
          </w:tcPr>
          <w:p w:rsidR="006537FE" w:rsidRPr="006537FE" w:rsidRDefault="006537FE" w:rsidP="006537FE">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r w:rsidRPr="006537FE">
              <w:rPr>
                <w:rFonts w:ascii="Palatino Linotype" w:eastAsia="Arial Unicode MS" w:hAnsi="Palatino Linotype"/>
                <w:b/>
                <w:bCs/>
                <w:smallCaps/>
                <w:spacing w:val="4"/>
                <w:sz w:val="26"/>
                <w:szCs w:val="24"/>
                <w:lang w:eastAsia="pt-BR"/>
              </w:rPr>
              <w:t>Prefeito Municipal de Fortaleza</w:t>
            </w:r>
          </w:p>
        </w:tc>
      </w:tr>
      <w:tr w:rsidR="00922168" w:rsidRPr="00922168" w:rsidTr="00FB32A4">
        <w:tc>
          <w:tcPr>
            <w:tcW w:w="8509" w:type="dxa"/>
            <w:gridSpan w:val="4"/>
          </w:tcPr>
          <w:p w:rsidR="00922168" w:rsidRPr="00922168" w:rsidRDefault="00922168" w:rsidP="004C199A">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p>
        </w:tc>
      </w:tr>
      <w:tr w:rsidR="00922168" w:rsidRPr="00922168" w:rsidTr="00123797">
        <w:tc>
          <w:tcPr>
            <w:tcW w:w="2820" w:type="dxa"/>
          </w:tcPr>
          <w:p w:rsidR="00922168" w:rsidRPr="00922168" w:rsidRDefault="00922168" w:rsidP="00922168">
            <w:pPr>
              <w:widowControl w:val="0"/>
              <w:suppressLineNumbers/>
              <w:suppressAutoHyphens/>
              <w:spacing w:before="0" w:after="0" w:line="100" w:lineRule="atLeast"/>
              <w:ind w:firstLine="6"/>
              <w:jc w:val="left"/>
              <w:rPr>
                <w:rFonts w:ascii="Palatino Linotype" w:eastAsia="Arial Unicode MS" w:hAnsi="Palatino Linotype"/>
                <w:b/>
                <w:bCs/>
                <w:smallCaps/>
                <w:spacing w:val="4"/>
                <w:sz w:val="26"/>
                <w:szCs w:val="24"/>
                <w:lang w:eastAsia="pt-BR"/>
              </w:rPr>
            </w:pPr>
          </w:p>
        </w:tc>
        <w:tc>
          <w:tcPr>
            <w:tcW w:w="111" w:type="dxa"/>
            <w:gridSpan w:val="2"/>
          </w:tcPr>
          <w:p w:rsidR="00922168" w:rsidRPr="00922168" w:rsidRDefault="00922168" w:rsidP="00922168">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p>
        </w:tc>
        <w:tc>
          <w:tcPr>
            <w:tcW w:w="5578" w:type="dxa"/>
          </w:tcPr>
          <w:p w:rsidR="00922168" w:rsidRPr="00922168" w:rsidRDefault="00922168" w:rsidP="004C199A">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p>
        </w:tc>
      </w:tr>
      <w:tr w:rsidR="00922168" w:rsidRPr="00922168" w:rsidTr="00123797">
        <w:tc>
          <w:tcPr>
            <w:tcW w:w="2832" w:type="dxa"/>
            <w:gridSpan w:val="2"/>
          </w:tcPr>
          <w:p w:rsidR="00922168" w:rsidRPr="00922168" w:rsidRDefault="00922168" w:rsidP="004C199A">
            <w:pPr>
              <w:widowControl w:val="0"/>
              <w:suppressLineNumbers/>
              <w:suppressAutoHyphens/>
              <w:spacing w:before="0" w:after="0" w:line="100" w:lineRule="atLeast"/>
              <w:ind w:firstLine="6"/>
              <w:jc w:val="left"/>
              <w:rPr>
                <w:rFonts w:ascii="Palatino Linotype" w:eastAsia="Arial Unicode MS" w:hAnsi="Palatino Linotype"/>
                <w:b/>
                <w:bCs/>
                <w:smallCaps/>
                <w:spacing w:val="4"/>
                <w:sz w:val="26"/>
                <w:szCs w:val="24"/>
                <w:lang w:eastAsia="pt-BR"/>
              </w:rPr>
            </w:pPr>
          </w:p>
        </w:tc>
        <w:tc>
          <w:tcPr>
            <w:tcW w:w="99" w:type="dxa"/>
          </w:tcPr>
          <w:p w:rsidR="00922168" w:rsidRPr="00922168" w:rsidRDefault="00922168" w:rsidP="00922168">
            <w:pPr>
              <w:widowControl w:val="0"/>
              <w:suppressLineNumbers/>
              <w:suppressAutoHyphens/>
              <w:spacing w:before="0" w:after="0" w:line="100" w:lineRule="atLeast"/>
              <w:ind w:firstLine="6"/>
              <w:rPr>
                <w:rFonts w:ascii="Palatino Linotype" w:eastAsia="Arial Unicode MS" w:hAnsi="Palatino Linotype"/>
                <w:b/>
                <w:bCs/>
                <w:smallCaps/>
                <w:spacing w:val="4"/>
                <w:sz w:val="26"/>
                <w:szCs w:val="24"/>
                <w:lang w:eastAsia="pt-BR"/>
              </w:rPr>
            </w:pPr>
          </w:p>
        </w:tc>
        <w:tc>
          <w:tcPr>
            <w:tcW w:w="5578" w:type="dxa"/>
          </w:tcPr>
          <w:p w:rsidR="00922168" w:rsidRPr="00922168" w:rsidRDefault="00922168" w:rsidP="00922168">
            <w:pPr>
              <w:widowControl w:val="0"/>
              <w:suppressLineNumbers/>
              <w:suppressAutoHyphens/>
              <w:spacing w:before="0" w:after="0" w:line="100" w:lineRule="atLeast"/>
              <w:ind w:firstLine="6"/>
              <w:rPr>
                <w:rFonts w:ascii="Palatino Linotype" w:eastAsia="Arial Unicode MS" w:hAnsi="Palatino Linotype"/>
                <w:smallCaps/>
                <w:spacing w:val="4"/>
                <w:sz w:val="26"/>
                <w:szCs w:val="24"/>
                <w:lang w:eastAsia="pt-BR"/>
              </w:rPr>
            </w:pPr>
          </w:p>
        </w:tc>
      </w:tr>
    </w:tbl>
    <w:p w:rsidR="00922168" w:rsidRPr="00922168" w:rsidRDefault="00922168" w:rsidP="00922168">
      <w:pPr>
        <w:spacing w:before="100" w:beforeAutospacing="1" w:after="0" w:line="264" w:lineRule="auto"/>
        <w:ind w:firstLine="0"/>
        <w:jc w:val="center"/>
        <w:rPr>
          <w:rFonts w:eastAsia="Times New Roman"/>
          <w:szCs w:val="24"/>
          <w:lang w:eastAsia="pt-BR"/>
        </w:rPr>
      </w:pPr>
      <w:r w:rsidRPr="00922168">
        <w:rPr>
          <w:rFonts w:ascii="Palatino Linotype" w:eastAsia="Times New Roman" w:hAnsi="Palatino Linotype"/>
          <w:b/>
          <w:bCs/>
          <w:sz w:val="26"/>
          <w:szCs w:val="26"/>
          <w:lang w:eastAsia="pt-BR"/>
        </w:rPr>
        <w:t>VOTO</w:t>
      </w:r>
    </w:p>
    <w:p w:rsidR="005A0EB8" w:rsidRDefault="00922168" w:rsidP="00922168">
      <w:pPr>
        <w:spacing w:before="100" w:beforeAutospacing="1" w:after="0" w:line="264" w:lineRule="auto"/>
        <w:ind w:firstLine="567"/>
        <w:rPr>
          <w:rFonts w:ascii="Palatino Linotype" w:eastAsia="Times New Roman" w:hAnsi="Palatino Linotype"/>
          <w:sz w:val="26"/>
          <w:szCs w:val="26"/>
          <w:lang w:eastAsia="pt-BR"/>
        </w:rPr>
      </w:pPr>
      <w:r w:rsidRPr="00922168">
        <w:rPr>
          <w:rFonts w:ascii="Palatino Linotype" w:eastAsia="Times New Roman" w:hAnsi="Palatino Linotype"/>
          <w:b/>
          <w:bCs/>
          <w:sz w:val="26"/>
          <w:szCs w:val="26"/>
          <w:lang w:eastAsia="pt-BR"/>
        </w:rPr>
        <w:t>O SENHOR MINISTRO LUIZ FUX</w:t>
      </w:r>
      <w:r w:rsidRPr="00922168">
        <w:rPr>
          <w:rFonts w:ascii="Palatino Linotype" w:eastAsia="Times New Roman" w:hAnsi="Palatino Linotype"/>
          <w:sz w:val="26"/>
          <w:szCs w:val="26"/>
          <w:lang w:eastAsia="pt-BR"/>
        </w:rPr>
        <w:t xml:space="preserve"> - Senhor Presidente, egrégio Tribunal Pleno, ilustre representante do Ministério Público.</w:t>
      </w:r>
    </w:p>
    <w:p w:rsidR="004C199A" w:rsidRPr="00AF4707" w:rsidRDefault="004C199A" w:rsidP="004C199A">
      <w:pPr>
        <w:pStyle w:val="NormalWeb"/>
        <w:spacing w:after="0" w:line="264" w:lineRule="auto"/>
        <w:jc w:val="center"/>
        <w:rPr>
          <w:rFonts w:ascii="Palatino Linotype" w:hAnsi="Palatino Linotype"/>
          <w:b/>
          <w:sz w:val="26"/>
          <w:szCs w:val="26"/>
          <w:u w:val="single"/>
        </w:rPr>
      </w:pPr>
      <w:r w:rsidRPr="00AF4707">
        <w:rPr>
          <w:rFonts w:ascii="Palatino Linotype" w:hAnsi="Palatino Linotype"/>
          <w:b/>
          <w:sz w:val="26"/>
          <w:szCs w:val="26"/>
          <w:u w:val="single"/>
        </w:rPr>
        <w:t>I. Preliminar</w:t>
      </w:r>
      <w:r w:rsidR="00056424">
        <w:rPr>
          <w:rFonts w:ascii="Palatino Linotype" w:hAnsi="Palatino Linotype"/>
          <w:b/>
          <w:sz w:val="26"/>
          <w:szCs w:val="26"/>
          <w:u w:val="single"/>
        </w:rPr>
        <w:t>es</w:t>
      </w:r>
    </w:p>
    <w:p w:rsidR="004C199A" w:rsidRPr="00AF4707" w:rsidRDefault="004C199A" w:rsidP="004C199A">
      <w:pPr>
        <w:pStyle w:val="NormalWeb"/>
        <w:spacing w:after="0" w:line="264" w:lineRule="auto"/>
        <w:jc w:val="center"/>
        <w:rPr>
          <w:rFonts w:ascii="Palatino Linotype" w:hAnsi="Palatino Linotype"/>
          <w:b/>
          <w:sz w:val="26"/>
          <w:szCs w:val="26"/>
        </w:rPr>
      </w:pPr>
      <w:r w:rsidRPr="00AF4707">
        <w:rPr>
          <w:rFonts w:ascii="Palatino Linotype" w:hAnsi="Palatino Linotype"/>
          <w:b/>
          <w:sz w:val="26"/>
          <w:szCs w:val="26"/>
        </w:rPr>
        <w:t xml:space="preserve">Admissibilidade </w:t>
      </w:r>
      <w:r>
        <w:rPr>
          <w:rFonts w:ascii="Palatino Linotype" w:hAnsi="Palatino Linotype"/>
          <w:b/>
          <w:sz w:val="26"/>
          <w:szCs w:val="26"/>
        </w:rPr>
        <w:t>da ADPF</w:t>
      </w:r>
    </w:p>
    <w:p w:rsidR="004C199A" w:rsidRDefault="004C199A" w:rsidP="004C199A">
      <w:pPr>
        <w:pStyle w:val="NormalWeb"/>
        <w:spacing w:after="0" w:line="264" w:lineRule="auto"/>
        <w:ind w:firstLine="567"/>
        <w:jc w:val="both"/>
        <w:rPr>
          <w:rFonts w:ascii="Palatino Linotype" w:hAnsi="Palatino Linotype"/>
          <w:sz w:val="26"/>
          <w:szCs w:val="26"/>
        </w:rPr>
      </w:pPr>
      <w:r w:rsidRPr="00AF4707">
        <w:rPr>
          <w:rFonts w:ascii="Palatino Linotype" w:hAnsi="Palatino Linotype"/>
          <w:sz w:val="26"/>
          <w:szCs w:val="26"/>
        </w:rPr>
        <w:t xml:space="preserve">Preliminarmente, assento a admissibilidade </w:t>
      </w:r>
      <w:r>
        <w:rPr>
          <w:rFonts w:ascii="Palatino Linotype" w:hAnsi="Palatino Linotype"/>
          <w:sz w:val="26"/>
          <w:szCs w:val="26"/>
        </w:rPr>
        <w:t>da ADPF</w:t>
      </w:r>
      <w:r w:rsidR="009553E7">
        <w:rPr>
          <w:rFonts w:ascii="Palatino Linotype" w:hAnsi="Palatino Linotype"/>
          <w:sz w:val="26"/>
          <w:szCs w:val="26"/>
        </w:rPr>
        <w:t xml:space="preserve"> ora em julgamento.</w:t>
      </w:r>
    </w:p>
    <w:p w:rsidR="009553E7" w:rsidRDefault="009553E7" w:rsidP="009553E7">
      <w:pPr>
        <w:pStyle w:val="NormalWeb"/>
        <w:tabs>
          <w:tab w:val="left" w:pos="6237"/>
        </w:tabs>
        <w:spacing w:after="0" w:line="264" w:lineRule="auto"/>
        <w:ind w:firstLine="567"/>
        <w:jc w:val="both"/>
        <w:rPr>
          <w:rFonts w:ascii="Palatino Linotype" w:hAnsi="Palatino Linotype"/>
          <w:sz w:val="26"/>
          <w:szCs w:val="26"/>
        </w:rPr>
      </w:pPr>
      <w:r>
        <w:rPr>
          <w:rFonts w:ascii="Palatino Linotype" w:hAnsi="Palatino Linotype"/>
          <w:sz w:val="26"/>
          <w:szCs w:val="26"/>
        </w:rPr>
        <w:t>Afasto a preliminar suscitada pela Prefeitura de Fortaleza no sentido de não cabimento da ação constitucional por objetivar “</w:t>
      </w:r>
      <w:r>
        <w:rPr>
          <w:rFonts w:ascii="Palatino Linotype" w:hAnsi="Palatino Linotype"/>
          <w:i/>
          <w:sz w:val="26"/>
          <w:szCs w:val="26"/>
        </w:rPr>
        <w:t>um único desiderato: impedir o Poder Executivo do Município de Fortaleza de exercer as suas atribuições e competências constitucionais acerca dos contratos ou negócios,</w:t>
      </w:r>
      <w:r>
        <w:rPr>
          <w:rFonts w:ascii="Palatino Linotype" w:hAnsi="Palatino Linotype"/>
          <w:sz w:val="26"/>
          <w:szCs w:val="26"/>
        </w:rPr>
        <w:t xml:space="preserve"> [</w:t>
      </w:r>
      <w:r>
        <w:rPr>
          <w:rFonts w:ascii="Palatino Linotype" w:hAnsi="Palatino Linotype"/>
          <w:i/>
          <w:sz w:val="26"/>
          <w:szCs w:val="26"/>
        </w:rPr>
        <w:t>sic</w:t>
      </w:r>
      <w:r>
        <w:rPr>
          <w:rFonts w:ascii="Palatino Linotype" w:hAnsi="Palatino Linotype"/>
          <w:sz w:val="26"/>
          <w:szCs w:val="26"/>
        </w:rPr>
        <w:t>]</w:t>
      </w:r>
      <w:r>
        <w:rPr>
          <w:rFonts w:ascii="Palatino Linotype" w:hAnsi="Palatino Linotype"/>
          <w:i/>
          <w:sz w:val="26"/>
          <w:szCs w:val="26"/>
        </w:rPr>
        <w:t xml:space="preserve"> de transporte individual privado individual</w:t>
      </w:r>
      <w:r>
        <w:rPr>
          <w:rFonts w:ascii="Palatino Linotype" w:hAnsi="Palatino Linotype"/>
          <w:sz w:val="26"/>
          <w:szCs w:val="26"/>
        </w:rPr>
        <w:t>”; outro argumento correlato seria o de que o requerente da ADPF estaria defendendo “</w:t>
      </w:r>
      <w:r>
        <w:rPr>
          <w:rFonts w:ascii="Palatino Linotype" w:hAnsi="Palatino Linotype"/>
          <w:i/>
          <w:sz w:val="26"/>
          <w:szCs w:val="26"/>
        </w:rPr>
        <w:t>interesses subjetivos, particulares</w:t>
      </w:r>
      <w:r>
        <w:rPr>
          <w:rFonts w:ascii="Palatino Linotype" w:hAnsi="Palatino Linotype"/>
          <w:sz w:val="26"/>
          <w:szCs w:val="26"/>
        </w:rPr>
        <w:t xml:space="preserve">”. Com efeito, a Arguição em apreço possui objeto de controle determinado, qual seja, a </w:t>
      </w:r>
      <w:r w:rsidRPr="009553E7">
        <w:rPr>
          <w:rFonts w:ascii="Palatino Linotype" w:hAnsi="Palatino Linotype"/>
          <w:sz w:val="26"/>
          <w:szCs w:val="26"/>
        </w:rPr>
        <w:t>Lei Municipal de Fortaleza nº 10.553/2016.</w:t>
      </w:r>
      <w:r w:rsidR="000E04DE">
        <w:rPr>
          <w:rFonts w:ascii="Palatino Linotype" w:hAnsi="Palatino Linotype"/>
          <w:sz w:val="26"/>
          <w:szCs w:val="26"/>
        </w:rPr>
        <w:t xml:space="preserve"> Não há controvérsia, na jurisprudência desta Corte, quanto ao cabimento de ADPF em face de lei municipal, adotando-se como parâmetro de controle preceito fundamental contido na Carta da República. Por isso mesmo, contrariamente ao afirmado pela Prefeitura, resta atendido o teste da subsidiariedade </w:t>
      </w:r>
      <w:r w:rsidR="00743D63">
        <w:rPr>
          <w:rFonts w:ascii="Palatino Linotype" w:hAnsi="Palatino Linotype"/>
          <w:sz w:val="26"/>
          <w:szCs w:val="26"/>
        </w:rPr>
        <w:t>quanto</w:t>
      </w:r>
      <w:r w:rsidR="000E04DE">
        <w:rPr>
          <w:rFonts w:ascii="Palatino Linotype" w:hAnsi="Palatino Linotype"/>
          <w:sz w:val="26"/>
          <w:szCs w:val="26"/>
        </w:rPr>
        <w:t xml:space="preserve"> </w:t>
      </w:r>
      <w:r w:rsidR="00743D63">
        <w:rPr>
          <w:rFonts w:ascii="Palatino Linotype" w:hAnsi="Palatino Linotype"/>
          <w:sz w:val="26"/>
          <w:szCs w:val="26"/>
        </w:rPr>
        <w:t>a</w:t>
      </w:r>
      <w:r w:rsidR="000E04DE">
        <w:rPr>
          <w:rFonts w:ascii="Palatino Linotype" w:hAnsi="Palatino Linotype"/>
          <w:sz w:val="26"/>
          <w:szCs w:val="26"/>
        </w:rPr>
        <w:t xml:space="preserve">o cabimento da </w:t>
      </w:r>
      <w:r w:rsidR="00743D63">
        <w:rPr>
          <w:rFonts w:ascii="Palatino Linotype" w:hAnsi="Palatino Linotype"/>
          <w:sz w:val="26"/>
          <w:szCs w:val="26"/>
        </w:rPr>
        <w:t xml:space="preserve">presente </w:t>
      </w:r>
      <w:r w:rsidR="000E04DE">
        <w:rPr>
          <w:rFonts w:ascii="Palatino Linotype" w:hAnsi="Palatino Linotype"/>
          <w:sz w:val="26"/>
          <w:szCs w:val="26"/>
        </w:rPr>
        <w:t>Arguição, ainda que em tese também fosse cabível o controle à luz da Constituição Estadual perante o Tribunal de Justiça competente.</w:t>
      </w:r>
      <w:r w:rsidR="000E7248">
        <w:rPr>
          <w:rFonts w:ascii="Palatino Linotype" w:hAnsi="Palatino Linotype"/>
          <w:sz w:val="26"/>
          <w:szCs w:val="26"/>
        </w:rPr>
        <w:t xml:space="preserve"> Neste sentido, colaciono os seguintes arestos do Plenário deste Pretório Excelso:</w:t>
      </w:r>
    </w:p>
    <w:p w:rsidR="000E7248" w:rsidRDefault="000E7248" w:rsidP="000E7248">
      <w:pPr>
        <w:pStyle w:val="NormalWeb"/>
        <w:tabs>
          <w:tab w:val="left" w:pos="6237"/>
        </w:tabs>
        <w:spacing w:after="0" w:line="264" w:lineRule="auto"/>
        <w:ind w:left="2268"/>
        <w:jc w:val="both"/>
        <w:rPr>
          <w:rFonts w:ascii="Palatino Linotype" w:hAnsi="Palatino Linotype"/>
          <w:sz w:val="22"/>
          <w:szCs w:val="22"/>
        </w:rPr>
      </w:pPr>
      <w:r w:rsidRPr="000E7248">
        <w:rPr>
          <w:rFonts w:ascii="Palatino Linotype" w:hAnsi="Palatino Linotype"/>
          <w:sz w:val="22"/>
          <w:szCs w:val="22"/>
        </w:rPr>
        <w:lastRenderedPageBreak/>
        <w:t>“O princípio da subsidiariedade é aferido no momento da propositura da ADPF, de modo que não se depreende qualquer outra ação constitucional com aptidão para evitar a lesividade ao pacto federativo em questão. (...) A ocorrência de coexistência de jurisdições constitucionais estadual e nacional configura a hipótese de suspensão prejudicial do processo de controle normativo abstrato instaurado perante o Tribunal de Justiça local. Precedentes.”</w:t>
      </w:r>
    </w:p>
    <w:p w:rsidR="000E7248" w:rsidRDefault="000E7248" w:rsidP="000E7248">
      <w:pPr>
        <w:pStyle w:val="NormalWeb"/>
        <w:tabs>
          <w:tab w:val="left" w:pos="6237"/>
        </w:tabs>
        <w:spacing w:after="0" w:line="264" w:lineRule="auto"/>
        <w:ind w:left="2268"/>
        <w:jc w:val="both"/>
        <w:rPr>
          <w:rFonts w:ascii="Palatino Linotype" w:hAnsi="Palatino Linotype"/>
          <w:sz w:val="22"/>
          <w:szCs w:val="22"/>
        </w:rPr>
      </w:pPr>
      <w:r>
        <w:rPr>
          <w:rFonts w:ascii="Palatino Linotype" w:hAnsi="Palatino Linotype"/>
          <w:sz w:val="22"/>
          <w:szCs w:val="22"/>
        </w:rPr>
        <w:t>(ADPF 190, Relator(a):</w:t>
      </w:r>
      <w:r w:rsidRPr="000E7248">
        <w:rPr>
          <w:rFonts w:ascii="Palatino Linotype" w:hAnsi="Palatino Linotype"/>
          <w:sz w:val="22"/>
          <w:szCs w:val="22"/>
        </w:rPr>
        <w:t xml:space="preserve"> Min. EDSON FACHIN, Tribunal Pleno, julgado em 29/09/2016</w:t>
      </w:r>
      <w:r>
        <w:rPr>
          <w:rFonts w:ascii="Palatino Linotype" w:hAnsi="Palatino Linotype"/>
          <w:sz w:val="22"/>
          <w:szCs w:val="22"/>
        </w:rPr>
        <w:t>)</w:t>
      </w:r>
    </w:p>
    <w:p w:rsidR="00946AE2" w:rsidRDefault="00946AE2" w:rsidP="000E7248">
      <w:pPr>
        <w:pStyle w:val="NormalWeb"/>
        <w:tabs>
          <w:tab w:val="left" w:pos="6237"/>
        </w:tabs>
        <w:spacing w:after="0" w:line="264" w:lineRule="auto"/>
        <w:ind w:left="2268"/>
        <w:jc w:val="both"/>
        <w:rPr>
          <w:rFonts w:ascii="Palatino Linotype" w:hAnsi="Palatino Linotype"/>
          <w:sz w:val="22"/>
          <w:szCs w:val="22"/>
        </w:rPr>
      </w:pPr>
      <w:r>
        <w:rPr>
          <w:rFonts w:ascii="Palatino Linotype" w:hAnsi="Palatino Linotype"/>
          <w:sz w:val="22"/>
          <w:szCs w:val="22"/>
        </w:rPr>
        <w:t>“</w:t>
      </w:r>
      <w:r w:rsidRPr="00946AE2">
        <w:rPr>
          <w:rFonts w:ascii="Palatino Linotype" w:hAnsi="Palatino Linotype"/>
          <w:sz w:val="22"/>
          <w:szCs w:val="22"/>
        </w:rPr>
        <w:t>Cabimento de argüição de descumprimento de preceito fundamental para solver controvérsia sobre legitimidade de lei ou ato normativo federal, estadual ou municipal, inclusive anterior à Constituição (norma pré-constitucional).</w:t>
      </w:r>
      <w:r>
        <w:rPr>
          <w:rFonts w:ascii="Palatino Linotype" w:hAnsi="Palatino Linotype"/>
          <w:sz w:val="22"/>
          <w:szCs w:val="22"/>
        </w:rPr>
        <w:t xml:space="preserve"> (...)</w:t>
      </w:r>
      <w:r w:rsidRPr="00946AE2">
        <w:rPr>
          <w:rFonts w:ascii="Palatino Linotype" w:hAnsi="Palatino Linotype"/>
          <w:sz w:val="22"/>
          <w:szCs w:val="22"/>
        </w:rPr>
        <w:t>Princípio da subsidiariedade (art. 4o ,§1o, da Lei no 9.882/99): inexistência de outro meio eficaz de sanar a lesão, compreendido no contexto da ordem constitucional global, como aquele apto a solver a controvérsia constitucional relevante de fo</w:t>
      </w:r>
      <w:r>
        <w:rPr>
          <w:rFonts w:ascii="Palatino Linotype" w:hAnsi="Palatino Linotype"/>
          <w:sz w:val="22"/>
          <w:szCs w:val="22"/>
        </w:rPr>
        <w:t>rma ampla, geral e imediata. (...)</w:t>
      </w:r>
      <w:r w:rsidRPr="00946AE2">
        <w:rPr>
          <w:rFonts w:ascii="Palatino Linotype" w:hAnsi="Palatino Linotype"/>
          <w:sz w:val="22"/>
          <w:szCs w:val="22"/>
        </w:rPr>
        <w:t xml:space="preserve"> A existência de processos ordinários e recursos extraordinários não deve excluir, a priori, a utilização da argüição de descumprimento de preceito fundamental, em virtude da feição marcadamente objetiva dessa ação.</w:t>
      </w:r>
      <w:r>
        <w:rPr>
          <w:rFonts w:ascii="Palatino Linotype" w:hAnsi="Palatino Linotype"/>
          <w:sz w:val="22"/>
          <w:szCs w:val="22"/>
        </w:rPr>
        <w:t>”</w:t>
      </w:r>
    </w:p>
    <w:p w:rsidR="00946AE2" w:rsidRPr="000E7248" w:rsidRDefault="00946AE2" w:rsidP="000E7248">
      <w:pPr>
        <w:pStyle w:val="NormalWeb"/>
        <w:tabs>
          <w:tab w:val="left" w:pos="6237"/>
        </w:tabs>
        <w:spacing w:after="0" w:line="264" w:lineRule="auto"/>
        <w:ind w:left="2268"/>
        <w:jc w:val="both"/>
        <w:rPr>
          <w:rFonts w:ascii="Palatino Linotype" w:hAnsi="Palatino Linotype"/>
          <w:sz w:val="22"/>
          <w:szCs w:val="22"/>
        </w:rPr>
      </w:pPr>
      <w:r>
        <w:rPr>
          <w:rFonts w:ascii="Palatino Linotype" w:hAnsi="Palatino Linotype"/>
          <w:sz w:val="22"/>
          <w:szCs w:val="22"/>
        </w:rPr>
        <w:t xml:space="preserve">(ADPF 33, Relator(a): </w:t>
      </w:r>
      <w:r w:rsidRPr="00946AE2">
        <w:rPr>
          <w:rFonts w:ascii="Palatino Linotype" w:hAnsi="Palatino Linotype"/>
          <w:sz w:val="22"/>
          <w:szCs w:val="22"/>
        </w:rPr>
        <w:t>Min. GILMAR MENDES, Tribunal Pleno, julgado em 07/12/2005</w:t>
      </w:r>
      <w:r>
        <w:rPr>
          <w:rFonts w:ascii="Palatino Linotype" w:hAnsi="Palatino Linotype"/>
          <w:sz w:val="22"/>
          <w:szCs w:val="22"/>
        </w:rPr>
        <w:t>)</w:t>
      </w:r>
    </w:p>
    <w:p w:rsidR="00F23B26" w:rsidRDefault="00F23B26" w:rsidP="009553E7">
      <w:pPr>
        <w:pStyle w:val="NormalWeb"/>
        <w:tabs>
          <w:tab w:val="left" w:pos="6237"/>
        </w:tabs>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Também admitindo o ajuizamento de ADPF em face de lei municipal: ADPF 316 MC-Ref, Relator(a): </w:t>
      </w:r>
      <w:r w:rsidRPr="00F23B26">
        <w:rPr>
          <w:rFonts w:ascii="Palatino Linotype" w:hAnsi="Palatino Linotype"/>
          <w:sz w:val="26"/>
          <w:szCs w:val="26"/>
        </w:rPr>
        <w:t>Min. MARCO AURÉLIO, Tribunal Pleno, julgado em 25/09/2014</w:t>
      </w:r>
      <w:r>
        <w:rPr>
          <w:rFonts w:ascii="Palatino Linotype" w:hAnsi="Palatino Linotype"/>
          <w:sz w:val="26"/>
          <w:szCs w:val="26"/>
        </w:rPr>
        <w:t>.</w:t>
      </w:r>
    </w:p>
    <w:p w:rsidR="00FB0CF5" w:rsidRDefault="00FB0CF5" w:rsidP="009553E7">
      <w:pPr>
        <w:pStyle w:val="NormalWeb"/>
        <w:tabs>
          <w:tab w:val="left" w:pos="6237"/>
        </w:tabs>
        <w:spacing w:after="0" w:line="264" w:lineRule="auto"/>
        <w:ind w:firstLine="567"/>
        <w:jc w:val="both"/>
        <w:rPr>
          <w:rFonts w:ascii="Palatino Linotype" w:hAnsi="Palatino Linotype"/>
          <w:sz w:val="26"/>
          <w:szCs w:val="26"/>
        </w:rPr>
      </w:pPr>
      <w:r>
        <w:rPr>
          <w:rFonts w:ascii="Palatino Linotype" w:hAnsi="Palatino Linotype"/>
          <w:sz w:val="26"/>
          <w:szCs w:val="26"/>
        </w:rPr>
        <w:t>Igualmente não merece acolhimento o requerimento de extinção do processo por suposta irregularidade de representação decorrente de procuração sem poderes específicos para ajuizar a Arguição de Descumprimento de Preceito Fundamental.</w:t>
      </w:r>
      <w:r w:rsidR="005A4B49">
        <w:rPr>
          <w:rFonts w:ascii="Palatino Linotype" w:hAnsi="Palatino Linotype"/>
          <w:sz w:val="26"/>
          <w:szCs w:val="26"/>
        </w:rPr>
        <w:t xml:space="preserve"> Em petição registrada sob o número 26541/2017, restou acostada aos autos procuração outorgada pelo DIRETÓRIO NACIONAL DO PARTIDO SOCIAL LIBERAL aos advogados que atuam no feito, com os poderes específicos para o ajuizamento da ADPF.</w:t>
      </w:r>
      <w:r w:rsidR="00743D63">
        <w:rPr>
          <w:rFonts w:ascii="Palatino Linotype" w:hAnsi="Palatino Linotype"/>
          <w:sz w:val="26"/>
          <w:szCs w:val="26"/>
        </w:rPr>
        <w:t xml:space="preserve"> Em casos análogos, a Corte entendeu que o defeito </w:t>
      </w:r>
      <w:r w:rsidR="00743D63">
        <w:rPr>
          <w:rFonts w:ascii="Palatino Linotype" w:hAnsi="Palatino Linotype"/>
          <w:sz w:val="26"/>
          <w:szCs w:val="26"/>
        </w:rPr>
        <w:lastRenderedPageBreak/>
        <w:t xml:space="preserve">é plenamente sanável, ainda que em fase posterior ao julgamento. </w:t>
      </w:r>
      <w:r w:rsidR="00743D63">
        <w:rPr>
          <w:rFonts w:ascii="Palatino Linotype" w:hAnsi="Palatino Linotype"/>
          <w:i/>
          <w:sz w:val="26"/>
          <w:szCs w:val="26"/>
        </w:rPr>
        <w:t>Verbi gratia</w:t>
      </w:r>
      <w:r w:rsidR="00743D63">
        <w:rPr>
          <w:rFonts w:ascii="Palatino Linotype" w:hAnsi="Palatino Linotype"/>
          <w:sz w:val="26"/>
          <w:szCs w:val="26"/>
        </w:rPr>
        <w:t>, confira-se: “</w:t>
      </w:r>
      <w:r w:rsidR="00743D63" w:rsidRPr="00743D63">
        <w:rPr>
          <w:rFonts w:ascii="Palatino Linotype" w:hAnsi="Palatino Linotype"/>
          <w:i/>
          <w:sz w:val="26"/>
          <w:szCs w:val="26"/>
        </w:rPr>
        <w:t>O Tribunal concedeu o prazo de 5 (cinco) dias para que seja apresentada procuração com poderes específicos para o ajuizamento da ADPF e deliberou prosseguir no exame do referendo da cautelar</w:t>
      </w:r>
      <w:r w:rsidR="00743D63">
        <w:rPr>
          <w:rFonts w:ascii="Palatino Linotype" w:hAnsi="Palatino Linotype"/>
          <w:sz w:val="26"/>
          <w:szCs w:val="26"/>
        </w:rPr>
        <w:t xml:space="preserve">” (ADPF 167 MC-REF, Relator(a): </w:t>
      </w:r>
      <w:r w:rsidR="00743D63" w:rsidRPr="00743D63">
        <w:rPr>
          <w:rFonts w:ascii="Palatino Linotype" w:hAnsi="Palatino Linotype"/>
          <w:sz w:val="26"/>
          <w:szCs w:val="26"/>
        </w:rPr>
        <w:t>Min. EROS GRAU, Tribunal Pleno, julgado em 01/10/2009</w:t>
      </w:r>
      <w:r w:rsidR="00743D63">
        <w:rPr>
          <w:rFonts w:ascii="Palatino Linotype" w:hAnsi="Palatino Linotype"/>
          <w:sz w:val="26"/>
          <w:szCs w:val="26"/>
        </w:rPr>
        <w:t>); “</w:t>
      </w:r>
      <w:r w:rsidR="00743D63" w:rsidRPr="00743D63">
        <w:rPr>
          <w:rFonts w:ascii="Palatino Linotype" w:hAnsi="Palatino Linotype"/>
          <w:i/>
          <w:sz w:val="26"/>
          <w:szCs w:val="26"/>
        </w:rPr>
        <w:t>O Tribunal</w:t>
      </w:r>
      <w:r w:rsidR="00743D63">
        <w:rPr>
          <w:rFonts w:ascii="Palatino Linotype" w:hAnsi="Palatino Linotype"/>
          <w:sz w:val="26"/>
          <w:szCs w:val="26"/>
        </w:rPr>
        <w:t xml:space="preserve"> (...) </w:t>
      </w:r>
      <w:r w:rsidR="00743D63" w:rsidRPr="00743D63">
        <w:rPr>
          <w:rFonts w:ascii="Palatino Linotype" w:hAnsi="Palatino Linotype"/>
          <w:i/>
          <w:sz w:val="26"/>
          <w:szCs w:val="26"/>
        </w:rPr>
        <w:t>rejeitou a preliminar de precedência da questão de regularização da procuração</w:t>
      </w:r>
      <w:r w:rsidR="00743D63">
        <w:rPr>
          <w:rFonts w:ascii="Palatino Linotype" w:hAnsi="Palatino Linotype"/>
          <w:sz w:val="26"/>
          <w:szCs w:val="26"/>
        </w:rPr>
        <w:t xml:space="preserve">” (ADPF 4 MC, Relator(a): </w:t>
      </w:r>
      <w:r w:rsidR="00743D63" w:rsidRPr="00743D63">
        <w:rPr>
          <w:rFonts w:ascii="Palatino Linotype" w:hAnsi="Palatino Linotype"/>
          <w:sz w:val="26"/>
          <w:szCs w:val="26"/>
        </w:rPr>
        <w:t>Min. ELLEN GRACIE, Tribunal Pleno, julgado em 02/08/2006</w:t>
      </w:r>
      <w:r w:rsidR="00743D63">
        <w:rPr>
          <w:rFonts w:ascii="Palatino Linotype" w:hAnsi="Palatino Linotype"/>
          <w:sz w:val="26"/>
          <w:szCs w:val="26"/>
        </w:rPr>
        <w:t>). Trata-se da orientação que melhor se coaduna com o espírito instrumentalista do novo Código de Processo Civil</w:t>
      </w:r>
      <w:r w:rsidR="005E12B6">
        <w:rPr>
          <w:rFonts w:ascii="Palatino Linotype" w:hAnsi="Palatino Linotype"/>
          <w:sz w:val="26"/>
          <w:szCs w:val="26"/>
        </w:rPr>
        <w:t>, devendo ocorrer o melhor aproveitamento possível dos atos processuais, evitando-se que formalidades estéreis embaracem a marcha do feito.</w:t>
      </w:r>
    </w:p>
    <w:p w:rsidR="001D598A" w:rsidRPr="00C14340" w:rsidRDefault="001D598A" w:rsidP="009553E7">
      <w:pPr>
        <w:pStyle w:val="NormalWeb"/>
        <w:tabs>
          <w:tab w:val="left" w:pos="6237"/>
        </w:tabs>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Consoante exposto no relatório, a Lei municipal impugnada na presente Arguição foi revogada expressamente pela </w:t>
      </w:r>
      <w:r w:rsidRPr="001D598A">
        <w:rPr>
          <w:rFonts w:ascii="Palatino Linotype" w:hAnsi="Palatino Linotype"/>
          <w:sz w:val="26"/>
          <w:szCs w:val="26"/>
        </w:rPr>
        <w:t>Lei nº 10.751/2018 do Município de Fortaleza</w:t>
      </w:r>
      <w:r>
        <w:rPr>
          <w:rFonts w:ascii="Palatino Linotype" w:hAnsi="Palatino Linotype"/>
          <w:sz w:val="26"/>
          <w:szCs w:val="26"/>
        </w:rPr>
        <w:t>. Esse fato, contudo, não retira o interesse de agir no presente feito.</w:t>
      </w:r>
      <w:r w:rsidR="00C14340">
        <w:rPr>
          <w:rFonts w:ascii="Palatino Linotype" w:hAnsi="Palatino Linotype"/>
          <w:sz w:val="26"/>
          <w:szCs w:val="26"/>
        </w:rPr>
        <w:t xml:space="preserve"> Isso porque persiste a utilidade da prestação jurisdicional com o intuito de estabelecer, com caráter </w:t>
      </w:r>
      <w:r w:rsidR="00C14340">
        <w:rPr>
          <w:rFonts w:ascii="Palatino Linotype" w:hAnsi="Palatino Linotype"/>
          <w:i/>
          <w:sz w:val="26"/>
          <w:szCs w:val="26"/>
        </w:rPr>
        <w:t>erga omnes</w:t>
      </w:r>
      <w:r w:rsidR="00C14340">
        <w:rPr>
          <w:rFonts w:ascii="Palatino Linotype" w:hAnsi="Palatino Linotype"/>
          <w:sz w:val="26"/>
          <w:szCs w:val="26"/>
        </w:rPr>
        <w:t xml:space="preserve"> e vinculante, o regime aplicável às relações jurídicas estabelecidas durante a vigência da lei</w:t>
      </w:r>
      <w:r w:rsidR="00DC1F89">
        <w:rPr>
          <w:rFonts w:ascii="Palatino Linotype" w:hAnsi="Palatino Linotype"/>
          <w:sz w:val="26"/>
          <w:szCs w:val="26"/>
        </w:rPr>
        <w:t>, bem como no que diz respeito a leis de idêntico teor aprovadas em outros Municípios</w:t>
      </w:r>
      <w:r w:rsidR="00C14340">
        <w:rPr>
          <w:rFonts w:ascii="Palatino Linotype" w:hAnsi="Palatino Linotype"/>
          <w:sz w:val="26"/>
          <w:szCs w:val="26"/>
        </w:rPr>
        <w:t xml:space="preserve">. Trata-se da solução mais consentânea com o princípio da eficiência processual e o imperativo de aproveitamento dos atos já praticados de maneira socialmente proveitosa. A esse respeito, há diversos precedentes da Corte admitindo o prosseguimento de ações de controle abstrato de constitucionalidade após a revogação da norma objeto de controle: </w:t>
      </w:r>
      <w:r w:rsidR="00C14340" w:rsidRPr="00C14340">
        <w:rPr>
          <w:rFonts w:ascii="Palatino Linotype" w:hAnsi="Palatino Linotype"/>
          <w:sz w:val="26"/>
          <w:szCs w:val="26"/>
        </w:rPr>
        <w:t>ADI 3306,</w:t>
      </w:r>
      <w:r w:rsidR="00C14340">
        <w:rPr>
          <w:rFonts w:ascii="Palatino Linotype" w:hAnsi="Palatino Linotype"/>
          <w:sz w:val="26"/>
          <w:szCs w:val="26"/>
        </w:rPr>
        <w:t xml:space="preserve"> Relator(a): </w:t>
      </w:r>
      <w:r w:rsidR="00C14340" w:rsidRPr="00C14340">
        <w:rPr>
          <w:rFonts w:ascii="Palatino Linotype" w:hAnsi="Palatino Linotype"/>
          <w:sz w:val="26"/>
          <w:szCs w:val="26"/>
        </w:rPr>
        <w:t>Min. GILMAR MENDES, Tribunal Pleno, julgado em 17/03/2011</w:t>
      </w:r>
      <w:r w:rsidR="00C14340">
        <w:rPr>
          <w:rFonts w:ascii="Palatino Linotype" w:hAnsi="Palatino Linotype"/>
          <w:sz w:val="26"/>
          <w:szCs w:val="26"/>
        </w:rPr>
        <w:t xml:space="preserve">; ADI 2418, Relator(a): </w:t>
      </w:r>
      <w:r w:rsidR="00C14340" w:rsidRPr="00C14340">
        <w:rPr>
          <w:rFonts w:ascii="Palatino Linotype" w:hAnsi="Palatino Linotype"/>
          <w:sz w:val="26"/>
          <w:szCs w:val="26"/>
        </w:rPr>
        <w:t>Min. TEORI ZAVASCKI, Tribunal Pleno, julgado em 04/05/2016</w:t>
      </w:r>
      <w:r w:rsidR="00C14340">
        <w:rPr>
          <w:rFonts w:ascii="Palatino Linotype" w:hAnsi="Palatino Linotype"/>
          <w:sz w:val="26"/>
          <w:szCs w:val="26"/>
        </w:rPr>
        <w:t>; ADI 951 ED, Relator(a):</w:t>
      </w:r>
      <w:r w:rsidR="00C14340" w:rsidRPr="00C14340">
        <w:rPr>
          <w:rFonts w:ascii="Palatino Linotype" w:hAnsi="Palatino Linotype"/>
          <w:sz w:val="26"/>
          <w:szCs w:val="26"/>
        </w:rPr>
        <w:t xml:space="preserve"> Min. ROBERTO BARROSO, Tribunal Pleno, julgado em 27/10/2016</w:t>
      </w:r>
      <w:r w:rsidR="00C14340">
        <w:rPr>
          <w:rFonts w:ascii="Palatino Linotype" w:hAnsi="Palatino Linotype"/>
          <w:sz w:val="26"/>
          <w:szCs w:val="26"/>
        </w:rPr>
        <w:t xml:space="preserve">; </w:t>
      </w:r>
      <w:r w:rsidR="00C14340" w:rsidRPr="00C14340">
        <w:rPr>
          <w:rFonts w:ascii="Palatino Linotype" w:hAnsi="Palatino Linotype"/>
          <w:sz w:val="26"/>
          <w:szCs w:val="26"/>
        </w:rPr>
        <w:t>ADI 4426, Relator(a)</w:t>
      </w:r>
      <w:r w:rsidR="00C14340">
        <w:rPr>
          <w:rFonts w:ascii="Palatino Linotype" w:hAnsi="Palatino Linotype"/>
          <w:sz w:val="26"/>
          <w:szCs w:val="26"/>
        </w:rPr>
        <w:t xml:space="preserve">: </w:t>
      </w:r>
      <w:r w:rsidR="00C14340" w:rsidRPr="00C14340">
        <w:rPr>
          <w:rFonts w:ascii="Palatino Linotype" w:hAnsi="Palatino Linotype"/>
          <w:sz w:val="26"/>
          <w:szCs w:val="26"/>
        </w:rPr>
        <w:t>Min. DIAS TOFFOLI, Tribunal Pleno, julgado em 09/02/201</w:t>
      </w:r>
      <w:r w:rsidR="00C14340">
        <w:rPr>
          <w:rFonts w:ascii="Palatino Linotype" w:hAnsi="Palatino Linotype"/>
          <w:sz w:val="26"/>
          <w:szCs w:val="26"/>
        </w:rPr>
        <w:t xml:space="preserve">1; </w:t>
      </w:r>
      <w:r w:rsidR="00C14340" w:rsidRPr="00C14340">
        <w:rPr>
          <w:rFonts w:ascii="Palatino Linotype" w:hAnsi="Palatino Linotype"/>
          <w:sz w:val="26"/>
          <w:szCs w:val="26"/>
        </w:rPr>
        <w:t>ADI 5287, Relator(a):  Min. LUIZ FUX, Tribunal Pleno, julgado em 18/05/2016</w:t>
      </w:r>
      <w:r w:rsidR="00C14340">
        <w:rPr>
          <w:rFonts w:ascii="Palatino Linotype" w:hAnsi="Palatino Linotype"/>
          <w:sz w:val="26"/>
          <w:szCs w:val="26"/>
        </w:rPr>
        <w:t>.</w:t>
      </w:r>
    </w:p>
    <w:p w:rsidR="000E7248" w:rsidRPr="00AF4707" w:rsidRDefault="000E7248" w:rsidP="009553E7">
      <w:pPr>
        <w:pStyle w:val="NormalWeb"/>
        <w:tabs>
          <w:tab w:val="left" w:pos="6237"/>
        </w:tabs>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Ante o exposto, </w:t>
      </w:r>
      <w:r w:rsidR="00B70689">
        <w:rPr>
          <w:rFonts w:ascii="Palatino Linotype" w:hAnsi="Palatino Linotype"/>
          <w:sz w:val="26"/>
          <w:szCs w:val="26"/>
        </w:rPr>
        <w:t>reputo cabível a Arguição ora examinada.</w:t>
      </w:r>
    </w:p>
    <w:p w:rsidR="004C199A" w:rsidRPr="00AF4707" w:rsidRDefault="004C199A" w:rsidP="004C199A">
      <w:pPr>
        <w:pStyle w:val="NormalWeb"/>
        <w:spacing w:after="0" w:line="264" w:lineRule="auto"/>
        <w:jc w:val="center"/>
        <w:rPr>
          <w:rFonts w:ascii="Palatino Linotype" w:hAnsi="Palatino Linotype"/>
          <w:b/>
          <w:sz w:val="26"/>
          <w:szCs w:val="26"/>
          <w:u w:val="single"/>
        </w:rPr>
      </w:pPr>
      <w:r w:rsidRPr="00AF4707">
        <w:rPr>
          <w:rFonts w:ascii="Palatino Linotype" w:hAnsi="Palatino Linotype"/>
          <w:b/>
          <w:sz w:val="26"/>
          <w:szCs w:val="26"/>
          <w:u w:val="single"/>
        </w:rPr>
        <w:t>II. Mérito</w:t>
      </w:r>
    </w:p>
    <w:p w:rsidR="00905C1E" w:rsidRDefault="004C199A"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lastRenderedPageBreak/>
        <w:t xml:space="preserve">Passando à análise das questões de mérito apresentadas à Corte pela presente ADPF, constata-se </w:t>
      </w:r>
      <w:r w:rsidR="0038757A">
        <w:rPr>
          <w:rFonts w:ascii="Palatino Linotype" w:hAnsi="Palatino Linotype"/>
          <w:sz w:val="26"/>
          <w:szCs w:val="26"/>
        </w:rPr>
        <w:t>tema de enorme repercussão social e econômica, referente ao estatuto constitucional das liberdades fundamentais. Questiona-se, por meio da Arguição em análise, se é possível ao Estado proibir ou restringir arbitrariamente o exercício de atividade econômica</w:t>
      </w:r>
      <w:r w:rsidR="00E0345B">
        <w:rPr>
          <w:rFonts w:ascii="Palatino Linotype" w:hAnsi="Palatino Linotype"/>
          <w:sz w:val="26"/>
          <w:szCs w:val="26"/>
        </w:rPr>
        <w:t xml:space="preserve"> por particulares, à luz dos princípios constitucionais da livre iniciativa e do valor social do trabalho (art. 1º, IV), da liberdade profissional (art. 5º, XIII) e da livre concorrência (art. 170, </w:t>
      </w:r>
      <w:r w:rsidR="00E0345B">
        <w:rPr>
          <w:rFonts w:ascii="Palatino Linotype" w:hAnsi="Palatino Linotype"/>
          <w:i/>
          <w:sz w:val="26"/>
          <w:szCs w:val="26"/>
        </w:rPr>
        <w:t>caput</w:t>
      </w:r>
      <w:r w:rsidR="00E0345B">
        <w:rPr>
          <w:rFonts w:ascii="Palatino Linotype" w:hAnsi="Palatino Linotype"/>
          <w:sz w:val="26"/>
          <w:szCs w:val="26"/>
        </w:rPr>
        <w:t xml:space="preserve">). Especificamente quanto ao transporte individual urbano de passageiros por intermédio de plataformas digitais, aponta-se, ainda, ofensa aos princípios da </w:t>
      </w:r>
      <w:r w:rsidR="00E0345B" w:rsidRPr="00E0345B">
        <w:rPr>
          <w:rFonts w:ascii="Palatino Linotype" w:hAnsi="Palatino Linotype"/>
          <w:sz w:val="26"/>
          <w:szCs w:val="26"/>
        </w:rPr>
        <w:t xml:space="preserve">defesa do consumidor (art. 170, V) </w:t>
      </w:r>
      <w:r w:rsidR="00E0345B">
        <w:rPr>
          <w:rFonts w:ascii="Palatino Linotype" w:hAnsi="Palatino Linotype"/>
          <w:sz w:val="26"/>
          <w:szCs w:val="26"/>
        </w:rPr>
        <w:t xml:space="preserve">e </w:t>
      </w:r>
      <w:r w:rsidR="00E0345B" w:rsidRPr="00E0345B">
        <w:rPr>
          <w:rFonts w:ascii="Palatino Linotype" w:hAnsi="Palatino Linotype"/>
          <w:sz w:val="26"/>
          <w:szCs w:val="26"/>
        </w:rPr>
        <w:t xml:space="preserve">da busca </w:t>
      </w:r>
      <w:r w:rsidR="00E0345B">
        <w:rPr>
          <w:rFonts w:ascii="Palatino Linotype" w:hAnsi="Palatino Linotype"/>
          <w:sz w:val="26"/>
          <w:szCs w:val="26"/>
        </w:rPr>
        <w:t>pel</w:t>
      </w:r>
      <w:r w:rsidR="00E0345B" w:rsidRPr="00E0345B">
        <w:rPr>
          <w:rFonts w:ascii="Palatino Linotype" w:hAnsi="Palatino Linotype"/>
          <w:sz w:val="26"/>
          <w:szCs w:val="26"/>
        </w:rPr>
        <w:t>o pleno emprego (art. 170, VIII)</w:t>
      </w:r>
      <w:r w:rsidR="00E0345B">
        <w:rPr>
          <w:rFonts w:ascii="Palatino Linotype" w:hAnsi="Palatino Linotype"/>
          <w:sz w:val="26"/>
          <w:szCs w:val="26"/>
        </w:rPr>
        <w:t>.</w:t>
      </w:r>
      <w:r w:rsidR="00905C1E">
        <w:rPr>
          <w:rFonts w:ascii="Palatino Linotype" w:hAnsi="Palatino Linotype"/>
          <w:sz w:val="26"/>
          <w:szCs w:val="26"/>
        </w:rPr>
        <w:t xml:space="preserve"> Eis o teor da Lei Municipal impugnada:</w:t>
      </w:r>
    </w:p>
    <w:p w:rsidR="00905C1E" w:rsidRP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LEI Nº 10.553, DE 23 DE DEZEMBRO DE 2016.</w:t>
      </w:r>
    </w:p>
    <w:p w:rsidR="00905C1E" w:rsidRP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Dispõe sobre a proibição do</w:t>
      </w:r>
      <w:r>
        <w:rPr>
          <w:rFonts w:ascii="Palatino Linotype" w:hAnsi="Palatino Linotype"/>
          <w:sz w:val="22"/>
          <w:szCs w:val="22"/>
        </w:rPr>
        <w:t xml:space="preserve"> </w:t>
      </w:r>
      <w:r w:rsidRPr="00905C1E">
        <w:rPr>
          <w:rFonts w:ascii="Palatino Linotype" w:hAnsi="Palatino Linotype"/>
          <w:sz w:val="22"/>
          <w:szCs w:val="22"/>
        </w:rPr>
        <w:t>uso de carros particulares</w:t>
      </w:r>
      <w:r>
        <w:rPr>
          <w:rFonts w:ascii="Palatino Linotype" w:hAnsi="Palatino Linotype"/>
          <w:sz w:val="22"/>
          <w:szCs w:val="22"/>
        </w:rPr>
        <w:t xml:space="preserve"> </w:t>
      </w:r>
      <w:r w:rsidRPr="00905C1E">
        <w:rPr>
          <w:rFonts w:ascii="Palatino Linotype" w:hAnsi="Palatino Linotype"/>
          <w:sz w:val="22"/>
          <w:szCs w:val="22"/>
        </w:rPr>
        <w:t>cadastrados ou não em aplicativos,</w:t>
      </w:r>
      <w:r>
        <w:rPr>
          <w:rFonts w:ascii="Palatino Linotype" w:hAnsi="Palatino Linotype"/>
          <w:sz w:val="22"/>
          <w:szCs w:val="22"/>
        </w:rPr>
        <w:t xml:space="preserve"> </w:t>
      </w:r>
      <w:r w:rsidRPr="00905C1E">
        <w:rPr>
          <w:rFonts w:ascii="Palatino Linotype" w:hAnsi="Palatino Linotype"/>
          <w:sz w:val="22"/>
          <w:szCs w:val="22"/>
        </w:rPr>
        <w:t>para o transporte remunerado</w:t>
      </w:r>
      <w:r>
        <w:rPr>
          <w:rFonts w:ascii="Palatino Linotype" w:hAnsi="Palatino Linotype"/>
          <w:sz w:val="22"/>
          <w:szCs w:val="22"/>
        </w:rPr>
        <w:t xml:space="preserve"> </w:t>
      </w:r>
      <w:r w:rsidRPr="00905C1E">
        <w:rPr>
          <w:rFonts w:ascii="Palatino Linotype" w:hAnsi="Palatino Linotype"/>
          <w:sz w:val="22"/>
          <w:szCs w:val="22"/>
        </w:rPr>
        <w:t>individual de pessoas</w:t>
      </w:r>
      <w:r>
        <w:rPr>
          <w:rFonts w:ascii="Palatino Linotype" w:hAnsi="Palatino Linotype"/>
          <w:sz w:val="22"/>
          <w:szCs w:val="22"/>
        </w:rPr>
        <w:t xml:space="preserve"> </w:t>
      </w:r>
      <w:r w:rsidRPr="00905C1E">
        <w:rPr>
          <w:rFonts w:ascii="Palatino Linotype" w:hAnsi="Palatino Linotype"/>
          <w:sz w:val="22"/>
          <w:szCs w:val="22"/>
        </w:rPr>
        <w:t>no Município de Fortaleza, e dá</w:t>
      </w:r>
      <w:r>
        <w:rPr>
          <w:rFonts w:ascii="Palatino Linotype" w:hAnsi="Palatino Linotype"/>
          <w:sz w:val="22"/>
          <w:szCs w:val="22"/>
        </w:rPr>
        <w:t xml:space="preserve"> </w:t>
      </w:r>
      <w:r w:rsidRPr="00905C1E">
        <w:rPr>
          <w:rFonts w:ascii="Palatino Linotype" w:hAnsi="Palatino Linotype"/>
          <w:sz w:val="22"/>
          <w:szCs w:val="22"/>
        </w:rPr>
        <w:t>outras providências.</w:t>
      </w:r>
    </w:p>
    <w:p w:rsidR="00905C1E" w:rsidRP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FAÇO SABER QUE A CÂMARA MUNICIPAL DE</w:t>
      </w:r>
      <w:r>
        <w:rPr>
          <w:rFonts w:ascii="Palatino Linotype" w:hAnsi="Palatino Linotype"/>
          <w:sz w:val="22"/>
          <w:szCs w:val="22"/>
        </w:rPr>
        <w:t xml:space="preserve"> </w:t>
      </w:r>
      <w:r w:rsidRPr="00905C1E">
        <w:rPr>
          <w:rFonts w:ascii="Palatino Linotype" w:hAnsi="Palatino Linotype"/>
          <w:sz w:val="22"/>
          <w:szCs w:val="22"/>
        </w:rPr>
        <w:t>FORTALEZA APROVOU E EU SANCIONO A SEGUINTE LEI:</w:t>
      </w:r>
    </w:p>
    <w:p w:rsid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Art. 1º - É vedado no município de Fortaleza o transporte público</w:t>
      </w:r>
      <w:r>
        <w:rPr>
          <w:rFonts w:ascii="Palatino Linotype" w:hAnsi="Palatino Linotype"/>
          <w:sz w:val="22"/>
          <w:szCs w:val="22"/>
        </w:rPr>
        <w:t xml:space="preserve"> </w:t>
      </w:r>
      <w:r w:rsidRPr="00905C1E">
        <w:rPr>
          <w:rFonts w:ascii="Palatino Linotype" w:hAnsi="Palatino Linotype"/>
          <w:sz w:val="22"/>
          <w:szCs w:val="22"/>
        </w:rPr>
        <w:t>individual de passageiro sem a</w:t>
      </w:r>
      <w:r>
        <w:rPr>
          <w:rFonts w:ascii="Palatino Linotype" w:hAnsi="Palatino Linotype"/>
          <w:sz w:val="22"/>
          <w:szCs w:val="22"/>
        </w:rPr>
        <w:t xml:space="preserve"> devida permissão legal.</w:t>
      </w:r>
    </w:p>
    <w:p w:rsid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Art.</w:t>
      </w:r>
      <w:r>
        <w:rPr>
          <w:rFonts w:ascii="Palatino Linotype" w:hAnsi="Palatino Linotype"/>
          <w:sz w:val="22"/>
          <w:szCs w:val="22"/>
        </w:rPr>
        <w:t xml:space="preserve"> </w:t>
      </w:r>
      <w:r w:rsidRPr="00905C1E">
        <w:rPr>
          <w:rFonts w:ascii="Palatino Linotype" w:hAnsi="Palatino Linotype"/>
          <w:sz w:val="22"/>
          <w:szCs w:val="22"/>
        </w:rPr>
        <w:t>2º - A infração ao disposto nesta Lei acarretará ao condutor a</w:t>
      </w:r>
      <w:r>
        <w:rPr>
          <w:rFonts w:ascii="Palatino Linotype" w:hAnsi="Palatino Linotype"/>
          <w:sz w:val="22"/>
          <w:szCs w:val="22"/>
        </w:rPr>
        <w:t xml:space="preserve"> </w:t>
      </w:r>
      <w:r w:rsidRPr="00905C1E">
        <w:rPr>
          <w:rFonts w:ascii="Palatino Linotype" w:hAnsi="Palatino Linotype"/>
          <w:sz w:val="22"/>
          <w:szCs w:val="22"/>
        </w:rPr>
        <w:t>multa de R$ 1.400,00 (mil e quatrocentos reais), aplicada até o</w:t>
      </w:r>
      <w:r>
        <w:rPr>
          <w:rFonts w:ascii="Palatino Linotype" w:hAnsi="Palatino Linotype"/>
          <w:sz w:val="22"/>
          <w:szCs w:val="22"/>
        </w:rPr>
        <w:t xml:space="preserve"> </w:t>
      </w:r>
      <w:r w:rsidRPr="00905C1E">
        <w:rPr>
          <w:rFonts w:ascii="Palatino Linotype" w:hAnsi="Palatino Linotype"/>
          <w:sz w:val="22"/>
          <w:szCs w:val="22"/>
        </w:rPr>
        <w:t>limite de 4 (quatro) vezes o valor da multa, em caso de reincidência</w:t>
      </w:r>
      <w:r>
        <w:rPr>
          <w:rFonts w:ascii="Palatino Linotype" w:hAnsi="Palatino Linotype"/>
          <w:sz w:val="22"/>
          <w:szCs w:val="22"/>
        </w:rPr>
        <w:t xml:space="preserve"> </w:t>
      </w:r>
      <w:r w:rsidRPr="00905C1E">
        <w:rPr>
          <w:rFonts w:ascii="Palatino Linotype" w:hAnsi="Palatino Linotype"/>
          <w:sz w:val="22"/>
          <w:szCs w:val="22"/>
        </w:rPr>
        <w:t>no período de 12 (doze) meses.</w:t>
      </w:r>
    </w:p>
    <w:p w:rsid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Art. 3º - As despesas</w:t>
      </w:r>
      <w:r>
        <w:rPr>
          <w:rFonts w:ascii="Palatino Linotype" w:hAnsi="Palatino Linotype"/>
          <w:sz w:val="22"/>
          <w:szCs w:val="22"/>
        </w:rPr>
        <w:t xml:space="preserve"> </w:t>
      </w:r>
      <w:r w:rsidRPr="00905C1E">
        <w:rPr>
          <w:rFonts w:ascii="Palatino Linotype" w:hAnsi="Palatino Linotype"/>
          <w:sz w:val="22"/>
          <w:szCs w:val="22"/>
        </w:rPr>
        <w:t>com a execução desta Lei correrão por conta de dotações</w:t>
      </w:r>
      <w:r>
        <w:rPr>
          <w:rFonts w:ascii="Palatino Linotype" w:hAnsi="Palatino Linotype"/>
          <w:sz w:val="22"/>
          <w:szCs w:val="22"/>
        </w:rPr>
        <w:t xml:space="preserve"> </w:t>
      </w:r>
      <w:r w:rsidRPr="00905C1E">
        <w:rPr>
          <w:rFonts w:ascii="Palatino Linotype" w:hAnsi="Palatino Linotype"/>
          <w:sz w:val="22"/>
          <w:szCs w:val="22"/>
        </w:rPr>
        <w:t>orçamentárias próprias, suplementadas se necessário</w:t>
      </w:r>
      <w:r>
        <w:rPr>
          <w:rFonts w:ascii="Palatino Linotype" w:hAnsi="Palatino Linotype"/>
          <w:sz w:val="22"/>
          <w:szCs w:val="22"/>
        </w:rPr>
        <w:t>.</w:t>
      </w:r>
    </w:p>
    <w:p w:rsidR="00905C1E" w:rsidRPr="00905C1E" w:rsidRDefault="00905C1E" w:rsidP="00905C1E">
      <w:pPr>
        <w:pStyle w:val="NormalWeb"/>
        <w:spacing w:after="0"/>
        <w:ind w:left="2268"/>
        <w:jc w:val="both"/>
        <w:rPr>
          <w:rFonts w:ascii="Palatino Linotype" w:hAnsi="Palatino Linotype"/>
          <w:sz w:val="22"/>
          <w:szCs w:val="22"/>
        </w:rPr>
      </w:pPr>
      <w:r w:rsidRPr="00905C1E">
        <w:rPr>
          <w:rFonts w:ascii="Palatino Linotype" w:hAnsi="Palatino Linotype"/>
          <w:sz w:val="22"/>
          <w:szCs w:val="22"/>
        </w:rPr>
        <w:t>Art. 4º -</w:t>
      </w:r>
      <w:r>
        <w:rPr>
          <w:rFonts w:ascii="Palatino Linotype" w:hAnsi="Palatino Linotype"/>
          <w:sz w:val="22"/>
          <w:szCs w:val="22"/>
        </w:rPr>
        <w:t xml:space="preserve"> </w:t>
      </w:r>
      <w:r w:rsidRPr="00905C1E">
        <w:rPr>
          <w:rFonts w:ascii="Palatino Linotype" w:hAnsi="Palatino Linotype"/>
          <w:sz w:val="22"/>
          <w:szCs w:val="22"/>
        </w:rPr>
        <w:t>Esta Lei entra em vigor na data de sua publicação,</w:t>
      </w:r>
      <w:r>
        <w:rPr>
          <w:rFonts w:ascii="Palatino Linotype" w:hAnsi="Palatino Linotype"/>
          <w:sz w:val="22"/>
          <w:szCs w:val="22"/>
        </w:rPr>
        <w:t xml:space="preserve"> </w:t>
      </w:r>
      <w:r w:rsidRPr="00905C1E">
        <w:rPr>
          <w:rFonts w:ascii="Palatino Linotype" w:hAnsi="Palatino Linotype"/>
          <w:sz w:val="22"/>
          <w:szCs w:val="22"/>
        </w:rPr>
        <w:t>revogadas</w:t>
      </w:r>
      <w:r>
        <w:rPr>
          <w:rFonts w:ascii="Palatino Linotype" w:hAnsi="Palatino Linotype"/>
          <w:sz w:val="22"/>
          <w:szCs w:val="22"/>
        </w:rPr>
        <w:t xml:space="preserve"> </w:t>
      </w:r>
      <w:r w:rsidRPr="00905C1E">
        <w:rPr>
          <w:rFonts w:ascii="Palatino Linotype" w:hAnsi="Palatino Linotype"/>
          <w:sz w:val="22"/>
          <w:szCs w:val="22"/>
        </w:rPr>
        <w:t>as disposições em contrário.</w:t>
      </w:r>
    </w:p>
    <w:p w:rsidR="006B14E5" w:rsidRDefault="006B14E5"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Relativamente ao aspecto formal, </w:t>
      </w:r>
      <w:r w:rsidR="00974D3A">
        <w:rPr>
          <w:rFonts w:ascii="Palatino Linotype" w:hAnsi="Palatino Linotype"/>
          <w:sz w:val="26"/>
          <w:szCs w:val="26"/>
        </w:rPr>
        <w:t>é necessário decidir</w:t>
      </w:r>
      <w:r>
        <w:rPr>
          <w:rFonts w:ascii="Palatino Linotype" w:hAnsi="Palatino Linotype"/>
          <w:sz w:val="26"/>
          <w:szCs w:val="26"/>
        </w:rPr>
        <w:t xml:space="preserve"> a respeito da competência do</w:t>
      </w:r>
      <w:r w:rsidR="00880609">
        <w:rPr>
          <w:rFonts w:ascii="Palatino Linotype" w:hAnsi="Palatino Linotype"/>
          <w:sz w:val="26"/>
          <w:szCs w:val="26"/>
        </w:rPr>
        <w:t>s</w:t>
      </w:r>
      <w:r>
        <w:rPr>
          <w:rFonts w:ascii="Palatino Linotype" w:hAnsi="Palatino Linotype"/>
          <w:sz w:val="26"/>
          <w:szCs w:val="26"/>
        </w:rPr>
        <w:t xml:space="preserve"> Município</w:t>
      </w:r>
      <w:r w:rsidR="00880609">
        <w:rPr>
          <w:rFonts w:ascii="Palatino Linotype" w:hAnsi="Palatino Linotype"/>
          <w:sz w:val="26"/>
          <w:szCs w:val="26"/>
        </w:rPr>
        <w:t>s</w:t>
      </w:r>
      <w:r>
        <w:rPr>
          <w:rFonts w:ascii="Palatino Linotype" w:hAnsi="Palatino Linotype"/>
          <w:sz w:val="26"/>
          <w:szCs w:val="26"/>
        </w:rPr>
        <w:t xml:space="preserve"> para </w:t>
      </w:r>
      <w:r w:rsidR="006D6B66">
        <w:rPr>
          <w:rFonts w:ascii="Palatino Linotype" w:hAnsi="Palatino Linotype"/>
          <w:sz w:val="26"/>
          <w:szCs w:val="26"/>
        </w:rPr>
        <w:t>regular a atividade de</w:t>
      </w:r>
      <w:r>
        <w:rPr>
          <w:rFonts w:ascii="Palatino Linotype" w:hAnsi="Palatino Linotype"/>
          <w:sz w:val="26"/>
          <w:szCs w:val="26"/>
        </w:rPr>
        <w:t xml:space="preserve"> transporte particular individual de passageiros</w:t>
      </w:r>
      <w:r w:rsidR="006D6B66">
        <w:rPr>
          <w:rFonts w:ascii="Palatino Linotype" w:hAnsi="Palatino Linotype"/>
          <w:sz w:val="26"/>
          <w:szCs w:val="26"/>
        </w:rPr>
        <w:t>.</w:t>
      </w:r>
      <w:r w:rsidR="00974D3A">
        <w:rPr>
          <w:rFonts w:ascii="Palatino Linotype" w:hAnsi="Palatino Linotype"/>
          <w:sz w:val="26"/>
          <w:szCs w:val="26"/>
        </w:rPr>
        <w:t xml:space="preserve"> É de se registrar que diversos Municípios editaram leis semelhantes, como Aracaju/SE (Lei </w:t>
      </w:r>
      <w:r w:rsidR="00D545BC">
        <w:rPr>
          <w:rFonts w:ascii="Palatino Linotype" w:hAnsi="Palatino Linotype"/>
          <w:sz w:val="26"/>
          <w:szCs w:val="26"/>
        </w:rPr>
        <w:t xml:space="preserve">n.º </w:t>
      </w:r>
      <w:r w:rsidR="00974D3A">
        <w:rPr>
          <w:rFonts w:ascii="Palatino Linotype" w:hAnsi="Palatino Linotype"/>
          <w:sz w:val="26"/>
          <w:szCs w:val="26"/>
        </w:rPr>
        <w:lastRenderedPageBreak/>
        <w:t xml:space="preserve">4.738/2015), Salvador/BA (Lei </w:t>
      </w:r>
      <w:r w:rsidR="00D545BC">
        <w:rPr>
          <w:rFonts w:ascii="Palatino Linotype" w:hAnsi="Palatino Linotype"/>
          <w:sz w:val="26"/>
          <w:szCs w:val="26"/>
        </w:rPr>
        <w:t xml:space="preserve">n.º </w:t>
      </w:r>
      <w:r w:rsidR="00974D3A">
        <w:rPr>
          <w:rFonts w:ascii="Palatino Linotype" w:hAnsi="Palatino Linotype"/>
          <w:sz w:val="26"/>
          <w:szCs w:val="26"/>
        </w:rPr>
        <w:t>9.107/2017), Campinas</w:t>
      </w:r>
      <w:r w:rsidR="00D545BC">
        <w:rPr>
          <w:rFonts w:ascii="Palatino Linotype" w:hAnsi="Palatino Linotype"/>
          <w:sz w:val="26"/>
          <w:szCs w:val="26"/>
        </w:rPr>
        <w:t>/SP</w:t>
      </w:r>
      <w:r w:rsidR="00974D3A">
        <w:rPr>
          <w:rFonts w:ascii="Palatino Linotype" w:hAnsi="Palatino Linotype"/>
          <w:sz w:val="26"/>
          <w:szCs w:val="26"/>
        </w:rPr>
        <w:t xml:space="preserve"> (Lei </w:t>
      </w:r>
      <w:r w:rsidR="00D545BC">
        <w:rPr>
          <w:rFonts w:ascii="Palatino Linotype" w:hAnsi="Palatino Linotype"/>
          <w:sz w:val="26"/>
          <w:szCs w:val="26"/>
        </w:rPr>
        <w:t xml:space="preserve">n.º </w:t>
      </w:r>
      <w:r w:rsidR="00974D3A">
        <w:rPr>
          <w:rFonts w:ascii="Palatino Linotype" w:hAnsi="Palatino Linotype"/>
          <w:sz w:val="26"/>
          <w:szCs w:val="26"/>
        </w:rPr>
        <w:t>13.775/10), dentre outros.</w:t>
      </w:r>
    </w:p>
    <w:p w:rsidR="00F1482B" w:rsidRDefault="00C24DEA"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Sabe-se que o artigo 22, incisos IX e XI, da Constituição estabelece a </w:t>
      </w:r>
      <w:r w:rsidRPr="00BB3C39">
        <w:rPr>
          <w:rFonts w:ascii="Palatino Linotype" w:hAnsi="Palatino Linotype"/>
          <w:sz w:val="26"/>
          <w:szCs w:val="26"/>
        </w:rPr>
        <w:t xml:space="preserve">competência privativa da União para legislar, respectivamente, sobre “diretrizes da política nacional de transportes” e sobre “trânsito e transporte”. </w:t>
      </w:r>
      <w:r>
        <w:rPr>
          <w:rFonts w:ascii="Palatino Linotype" w:hAnsi="Palatino Linotype"/>
          <w:sz w:val="26"/>
          <w:szCs w:val="26"/>
        </w:rPr>
        <w:t xml:space="preserve">A </w:t>
      </w:r>
      <w:r>
        <w:rPr>
          <w:rFonts w:ascii="Palatino Linotype" w:hAnsi="Palatino Linotype"/>
          <w:i/>
          <w:sz w:val="26"/>
          <w:szCs w:val="26"/>
        </w:rPr>
        <w:t xml:space="preserve">ratio </w:t>
      </w:r>
      <w:r>
        <w:rPr>
          <w:rFonts w:ascii="Palatino Linotype" w:hAnsi="Palatino Linotype"/>
          <w:sz w:val="26"/>
          <w:szCs w:val="26"/>
        </w:rPr>
        <w:t xml:space="preserve">dessa norma reside na necessidade de </w:t>
      </w:r>
      <w:r w:rsidRPr="00BB3C39">
        <w:rPr>
          <w:rFonts w:ascii="Palatino Linotype" w:hAnsi="Palatino Linotype"/>
          <w:sz w:val="26"/>
          <w:szCs w:val="26"/>
        </w:rPr>
        <w:t>se estabelecer uniformidade nacional aos modais de mobili</w:t>
      </w:r>
      <w:r>
        <w:rPr>
          <w:rFonts w:ascii="Palatino Linotype" w:hAnsi="Palatino Linotype"/>
          <w:sz w:val="26"/>
          <w:szCs w:val="26"/>
        </w:rPr>
        <w:t>dade, impedindo, assim, que a fragmentação da competência regulatória pelos entes federados menores inviabilize a implementação de um sistema de transporte eficiente, integrado e harmônico.</w:t>
      </w:r>
      <w:r w:rsidR="00F1482B">
        <w:rPr>
          <w:rFonts w:ascii="Palatino Linotype" w:hAnsi="Palatino Linotype"/>
          <w:sz w:val="26"/>
          <w:szCs w:val="26"/>
        </w:rPr>
        <w:t xml:space="preserve"> Nesse contexto, afigura-se incompatível com a distribuição constitucional de competências a edição de lei municipal que restrinja o exercício de atividade de transporte de natureza estritamente privada, sob pena de transformar-se o modelo federativo em óbice ao pleno</w:t>
      </w:r>
      <w:r w:rsidR="00DC6D2B">
        <w:rPr>
          <w:rFonts w:ascii="Palatino Linotype" w:hAnsi="Palatino Linotype"/>
          <w:sz w:val="26"/>
          <w:szCs w:val="26"/>
        </w:rPr>
        <w:t xml:space="preserve"> desenvolvimento do país, considerada a profusão desordenada de legislações conflitantes.</w:t>
      </w:r>
    </w:p>
    <w:p w:rsidR="00C53C85" w:rsidRDefault="00F1482B"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Acrescente-se, ainda, que o artigo 22, XVI, também atribui à União competência privativa para definir “</w:t>
      </w:r>
      <w:r w:rsidRPr="00F1482B">
        <w:rPr>
          <w:rFonts w:ascii="Palatino Linotype" w:hAnsi="Palatino Linotype"/>
          <w:sz w:val="26"/>
          <w:szCs w:val="26"/>
        </w:rPr>
        <w:t>condições para o exercício de profissões</w:t>
      </w:r>
      <w:r>
        <w:rPr>
          <w:rFonts w:ascii="Palatino Linotype" w:hAnsi="Palatino Linotype"/>
          <w:sz w:val="26"/>
          <w:szCs w:val="26"/>
        </w:rPr>
        <w:t>”</w:t>
      </w:r>
      <w:r w:rsidR="00DC6D2B">
        <w:rPr>
          <w:rFonts w:ascii="Palatino Linotype" w:hAnsi="Palatino Linotype"/>
          <w:sz w:val="26"/>
          <w:szCs w:val="26"/>
        </w:rPr>
        <w:t>, sendo certo que o exercício da atividade de motorista particular é protegido como liberdade fundamental pelo art. 5º, XIII, da Carta Magna, submetendo-se apenas à regulação definida em lei federal, a qual deve abster-se de criar restrições proporcionais, consoante será melhor explicado adiante.</w:t>
      </w:r>
      <w:r w:rsidR="00C53C85">
        <w:rPr>
          <w:rFonts w:ascii="Palatino Linotype" w:hAnsi="Palatino Linotype"/>
          <w:sz w:val="26"/>
          <w:szCs w:val="26"/>
        </w:rPr>
        <w:t xml:space="preserve"> Lei Municipal que proíba o transporte privado individual de passageiros, por consequência lógica, também veda o exercício da profissão de motorista particular em uma parcela relevantíssima do mercado, invadindo competência que seria da União.</w:t>
      </w:r>
    </w:p>
    <w:p w:rsidR="000E26A5" w:rsidRDefault="00E67489"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Nesse contexto, o art. 3º, VIII, da Lei Federal n.º 12.965/2014 (Marco Civil da Internet) já garante a liberdade dos modelos de negócios promovidos na internet, como é o caso das redes de transporte particular de passageiros por aplicativos. Na mesma linha, a </w:t>
      </w:r>
      <w:r w:rsidRPr="00E67489">
        <w:rPr>
          <w:rFonts w:ascii="Palatino Linotype" w:hAnsi="Palatino Linotype"/>
          <w:sz w:val="26"/>
          <w:szCs w:val="26"/>
        </w:rPr>
        <w:t>Política Nacional de Mobilidade Urbana</w:t>
      </w:r>
      <w:r>
        <w:rPr>
          <w:rFonts w:ascii="Palatino Linotype" w:hAnsi="Palatino Linotype"/>
          <w:sz w:val="26"/>
          <w:szCs w:val="26"/>
        </w:rPr>
        <w:t xml:space="preserve">, estabelecida pela Lei n.º 12.587/2012 e recentemente alterada pela Lei n.º 13.640 de 26 de março de 2018, já regulamenta o </w:t>
      </w:r>
      <w:r w:rsidRPr="00E67489">
        <w:rPr>
          <w:rFonts w:ascii="Palatino Linotype" w:hAnsi="Palatino Linotype"/>
          <w:sz w:val="26"/>
          <w:szCs w:val="26"/>
        </w:rPr>
        <w:t>transporte remunerado pr</w:t>
      </w:r>
      <w:r>
        <w:rPr>
          <w:rFonts w:ascii="Palatino Linotype" w:hAnsi="Palatino Linotype"/>
          <w:sz w:val="26"/>
          <w:szCs w:val="26"/>
        </w:rPr>
        <w:t>ivado individual de passageiros, definindo-o como o</w:t>
      </w:r>
      <w:r w:rsidRPr="00E67489">
        <w:rPr>
          <w:rFonts w:ascii="Palatino Linotype" w:hAnsi="Palatino Linotype"/>
          <w:sz w:val="26"/>
          <w:szCs w:val="26"/>
        </w:rPr>
        <w:t xml:space="preserve"> </w:t>
      </w:r>
      <w:r>
        <w:rPr>
          <w:rFonts w:ascii="Palatino Linotype" w:hAnsi="Palatino Linotype"/>
          <w:sz w:val="26"/>
          <w:szCs w:val="26"/>
        </w:rPr>
        <w:t>“</w:t>
      </w:r>
      <w:r w:rsidRPr="00E67489">
        <w:rPr>
          <w:rFonts w:ascii="Palatino Linotype" w:hAnsi="Palatino Linotype"/>
          <w:sz w:val="26"/>
          <w:szCs w:val="26"/>
        </w:rPr>
        <w:t xml:space="preserve">serviço remunerado de transporte de passageiros, não aberto ao </w:t>
      </w:r>
      <w:r w:rsidRPr="00E67489">
        <w:rPr>
          <w:rFonts w:ascii="Palatino Linotype" w:hAnsi="Palatino Linotype"/>
          <w:sz w:val="26"/>
          <w:szCs w:val="26"/>
        </w:rPr>
        <w:lastRenderedPageBreak/>
        <w:t>público, para a realização de viagens individualizadas ou compartilhadas solicitadas exclusivamente por usuários previamente cadastrados em aplicativos ou outras plataformas de comunicação em rede.</w:t>
      </w:r>
      <w:r>
        <w:rPr>
          <w:rFonts w:ascii="Palatino Linotype" w:hAnsi="Palatino Linotype"/>
          <w:sz w:val="26"/>
          <w:szCs w:val="26"/>
        </w:rPr>
        <w:t>”</w:t>
      </w:r>
      <w:r w:rsidR="003E487E">
        <w:rPr>
          <w:rFonts w:ascii="Palatino Linotype" w:hAnsi="Palatino Linotype"/>
          <w:sz w:val="26"/>
          <w:szCs w:val="26"/>
        </w:rPr>
        <w:t xml:space="preserve"> A referida lei passou a estabelecer requisitos para o exercício dessa atividade, como as exigências de contratação de seguro de acidentes pessoais a passageiros e DPVAT, recolhimento de tributos municipais e contribuições previdenciárias, </w:t>
      </w:r>
      <w:r w:rsidR="002451E0">
        <w:rPr>
          <w:rFonts w:ascii="Palatino Linotype" w:hAnsi="Palatino Linotype"/>
          <w:sz w:val="26"/>
          <w:szCs w:val="26"/>
        </w:rPr>
        <w:t xml:space="preserve">apresentação de certidão negativa de antecedentes criminais, registro e licenciamento do veículo </w:t>
      </w:r>
      <w:r w:rsidR="002451E0">
        <w:rPr>
          <w:rFonts w:ascii="Palatino Linotype" w:hAnsi="Palatino Linotype"/>
          <w:i/>
          <w:sz w:val="26"/>
          <w:szCs w:val="26"/>
        </w:rPr>
        <w:t>etc</w:t>
      </w:r>
      <w:r w:rsidR="002451E0">
        <w:rPr>
          <w:rFonts w:ascii="Palatino Linotype" w:hAnsi="Palatino Linotype"/>
          <w:sz w:val="26"/>
          <w:szCs w:val="26"/>
        </w:rPr>
        <w:t>.</w:t>
      </w:r>
    </w:p>
    <w:p w:rsidR="00DE303B" w:rsidRPr="002451E0" w:rsidRDefault="00DE303B"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Ainda a respeito da Lei n.º 13.640/2018, deve-se anotar que a delegação da regulação do serviço de </w:t>
      </w:r>
      <w:r w:rsidRPr="00DE303B">
        <w:rPr>
          <w:rFonts w:ascii="Palatino Linotype" w:hAnsi="Palatino Linotype"/>
          <w:sz w:val="26"/>
          <w:szCs w:val="26"/>
        </w:rPr>
        <w:t>transporte remunerado privado individual de passageiros</w:t>
      </w:r>
      <w:r>
        <w:rPr>
          <w:rFonts w:ascii="Palatino Linotype" w:hAnsi="Palatino Linotype"/>
          <w:sz w:val="26"/>
          <w:szCs w:val="26"/>
        </w:rPr>
        <w:t xml:space="preserve"> aos Municípios e Distrito Federal, consoante a nova redação dos artigos 11-A e 11-B da Lei n.º 12.587/2012, igualmente afronta a Constituição, por delegar indevidamente competência privativa da União, nos termos do já mencionado artigo 22, incisos IX, XI e XVI, da Lei Maior.</w:t>
      </w:r>
    </w:p>
    <w:p w:rsidR="00DC6D2B" w:rsidRDefault="003E487E"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É conveniente recordar precedentes desta Corte que julgaram formalmente inconstitucionais leis estaduais e distrital regulamentadoras </w:t>
      </w:r>
      <w:r w:rsidRPr="003E487E">
        <w:rPr>
          <w:rFonts w:ascii="Palatino Linotype" w:hAnsi="Palatino Linotype"/>
          <w:sz w:val="26"/>
          <w:szCs w:val="26"/>
        </w:rPr>
        <w:t>do licenciamento de motocicletas para transporte de passageiro (“Mototáxi”),</w:t>
      </w:r>
      <w:r>
        <w:rPr>
          <w:rFonts w:ascii="Palatino Linotype" w:hAnsi="Palatino Linotype"/>
          <w:sz w:val="26"/>
          <w:szCs w:val="26"/>
        </w:rPr>
        <w:t xml:space="preserve"> precisamente por usurpação da competência da União para legislar sobre a matéria, consoante se colhe do seguinte aresto:</w:t>
      </w:r>
    </w:p>
    <w:p w:rsidR="003E487E" w:rsidRPr="00D427AD" w:rsidRDefault="003E487E" w:rsidP="003E487E">
      <w:pPr>
        <w:spacing w:line="264" w:lineRule="auto"/>
        <w:ind w:left="2268"/>
        <w:rPr>
          <w:rFonts w:ascii="Palatino Linotype" w:hAnsi="Palatino Linotype"/>
          <w:sz w:val="22"/>
          <w:szCs w:val="26"/>
        </w:rPr>
      </w:pPr>
      <w:r w:rsidRPr="00D427AD">
        <w:rPr>
          <w:rFonts w:ascii="Palatino Linotype" w:hAnsi="Palatino Linotype"/>
          <w:sz w:val="22"/>
          <w:szCs w:val="26"/>
        </w:rPr>
        <w:t>“AÇÃO DIRETA DE INCONSTITUCIONALIDADE. LEI DO ESTADO DE MINAS GERAIS. LICENCIAMENTO DE MOTOCICLETAS PARA TRANSPORTE DE PASSAGEIROS ("MOTOTÁXI"). COMPETÊNCIA PRIVATIVA DA UNIÃO. INCONSTITUCIONALIDADE FORMAL RECONHECIDA. I - Competência privativa da União para legislar sobre trânsito e transporte (CF, art. 22, XI). II - Exercício de atribuição pelo Estado que demanda autorização em lei complementar. III - Inexistência de autorização expressa quanto ao transporte remunerado de passageiros por motocicletas. IV - Ação direta julgada procedente para declarar a inconstitucionalidade da lei mineira 12.618/97.”</w:t>
      </w:r>
    </w:p>
    <w:p w:rsidR="003E487E" w:rsidRPr="00D427AD" w:rsidRDefault="003E487E" w:rsidP="003E487E">
      <w:pPr>
        <w:spacing w:line="264" w:lineRule="auto"/>
        <w:ind w:left="2268"/>
        <w:rPr>
          <w:rFonts w:ascii="Palatino Linotype" w:hAnsi="Palatino Linotype"/>
          <w:sz w:val="22"/>
          <w:szCs w:val="26"/>
        </w:rPr>
      </w:pPr>
      <w:r w:rsidRPr="00D427AD">
        <w:rPr>
          <w:rFonts w:ascii="Palatino Linotype" w:hAnsi="Palatino Linotype"/>
          <w:sz w:val="22"/>
          <w:szCs w:val="26"/>
        </w:rPr>
        <w:t>(ADI 3136, Relator(a):  Min. Ricardo Lewandowski, Tribunal Pleno, julgado em 01/08/2006, DJ 10/11/2006)</w:t>
      </w:r>
    </w:p>
    <w:p w:rsidR="003E487E" w:rsidRDefault="003E487E" w:rsidP="003E487E">
      <w:pPr>
        <w:spacing w:line="264" w:lineRule="auto"/>
        <w:ind w:firstLine="708"/>
        <w:rPr>
          <w:rFonts w:ascii="Palatino Linotype" w:hAnsi="Palatino Linotype"/>
          <w:sz w:val="26"/>
          <w:szCs w:val="26"/>
        </w:rPr>
      </w:pPr>
      <w:r>
        <w:rPr>
          <w:rFonts w:ascii="Palatino Linotype" w:hAnsi="Palatino Linotype"/>
          <w:sz w:val="26"/>
          <w:szCs w:val="26"/>
        </w:rPr>
        <w:lastRenderedPageBreak/>
        <w:t>No mesmo sentido: ADI 2.606, Rel. Min. Maurício Corrêa, Tribunal Pleno, DJ de 07/02/2003; ADI 3.135,</w:t>
      </w:r>
      <w:r w:rsidRPr="00D427AD">
        <w:rPr>
          <w:rFonts w:ascii="Palatino Linotype" w:hAnsi="Palatino Linotype"/>
          <w:sz w:val="26"/>
          <w:szCs w:val="26"/>
        </w:rPr>
        <w:t xml:space="preserve"> </w:t>
      </w:r>
      <w:r w:rsidRPr="00E508CB">
        <w:rPr>
          <w:rFonts w:ascii="Palatino Linotype" w:hAnsi="Palatino Linotype"/>
          <w:sz w:val="26"/>
          <w:szCs w:val="26"/>
        </w:rPr>
        <w:t>Rel</w:t>
      </w:r>
      <w:r>
        <w:rPr>
          <w:rFonts w:ascii="Palatino Linotype" w:hAnsi="Palatino Linotype"/>
          <w:sz w:val="26"/>
          <w:szCs w:val="26"/>
        </w:rPr>
        <w:t xml:space="preserve">. </w:t>
      </w:r>
      <w:r w:rsidRPr="00E508CB">
        <w:rPr>
          <w:rFonts w:ascii="Palatino Linotype" w:hAnsi="Palatino Linotype"/>
          <w:sz w:val="26"/>
          <w:szCs w:val="26"/>
        </w:rPr>
        <w:t>Min. G</w:t>
      </w:r>
      <w:r>
        <w:rPr>
          <w:rFonts w:ascii="Palatino Linotype" w:hAnsi="Palatino Linotype"/>
          <w:sz w:val="26"/>
          <w:szCs w:val="26"/>
        </w:rPr>
        <w:t>ilmar</w:t>
      </w:r>
      <w:r w:rsidRPr="00E508CB">
        <w:rPr>
          <w:rFonts w:ascii="Palatino Linotype" w:hAnsi="Palatino Linotype"/>
          <w:sz w:val="26"/>
          <w:szCs w:val="26"/>
        </w:rPr>
        <w:t xml:space="preserve"> M</w:t>
      </w:r>
      <w:r>
        <w:rPr>
          <w:rFonts w:ascii="Palatino Linotype" w:hAnsi="Palatino Linotype"/>
          <w:sz w:val="26"/>
          <w:szCs w:val="26"/>
        </w:rPr>
        <w:t>endes</w:t>
      </w:r>
      <w:r w:rsidRPr="00E508CB">
        <w:rPr>
          <w:rFonts w:ascii="Palatino Linotype" w:hAnsi="Palatino Linotype"/>
          <w:sz w:val="26"/>
          <w:szCs w:val="26"/>
        </w:rPr>
        <w:t>, Tribunal Pleno, DJ</w:t>
      </w:r>
      <w:r>
        <w:rPr>
          <w:rFonts w:ascii="Palatino Linotype" w:hAnsi="Palatino Linotype"/>
          <w:sz w:val="26"/>
          <w:szCs w:val="26"/>
        </w:rPr>
        <w:t xml:space="preserve"> de</w:t>
      </w:r>
      <w:r w:rsidRPr="00E508CB">
        <w:rPr>
          <w:rFonts w:ascii="Palatino Linotype" w:hAnsi="Palatino Linotype"/>
          <w:sz w:val="26"/>
          <w:szCs w:val="26"/>
        </w:rPr>
        <w:t xml:space="preserve"> 08</w:t>
      </w:r>
      <w:r>
        <w:rPr>
          <w:rFonts w:ascii="Palatino Linotype" w:hAnsi="Palatino Linotype"/>
          <w:sz w:val="26"/>
          <w:szCs w:val="26"/>
        </w:rPr>
        <w:t>/</w:t>
      </w:r>
      <w:r w:rsidRPr="00E508CB">
        <w:rPr>
          <w:rFonts w:ascii="Palatino Linotype" w:hAnsi="Palatino Linotype"/>
          <w:sz w:val="26"/>
          <w:szCs w:val="26"/>
        </w:rPr>
        <w:t>09</w:t>
      </w:r>
      <w:r>
        <w:rPr>
          <w:rFonts w:ascii="Palatino Linotype" w:hAnsi="Palatino Linotype"/>
          <w:sz w:val="26"/>
          <w:szCs w:val="26"/>
        </w:rPr>
        <w:t>/</w:t>
      </w:r>
      <w:r w:rsidRPr="00E508CB">
        <w:rPr>
          <w:rFonts w:ascii="Palatino Linotype" w:hAnsi="Palatino Linotype"/>
          <w:sz w:val="26"/>
          <w:szCs w:val="26"/>
        </w:rPr>
        <w:t>2006</w:t>
      </w:r>
      <w:r>
        <w:rPr>
          <w:rFonts w:ascii="Palatino Linotype" w:hAnsi="Palatino Linotype"/>
          <w:sz w:val="26"/>
          <w:szCs w:val="26"/>
        </w:rPr>
        <w:t>; e ADI 3.679, Rel. Min. Sepúlveda Pertence, Tribunal Pleno, DJ de 03/08/2007.</w:t>
      </w:r>
    </w:p>
    <w:p w:rsidR="005306DA" w:rsidRDefault="005306DA" w:rsidP="003E487E">
      <w:pPr>
        <w:spacing w:line="264" w:lineRule="auto"/>
        <w:ind w:firstLine="708"/>
        <w:rPr>
          <w:rFonts w:ascii="Palatino Linotype" w:hAnsi="Palatino Linotype"/>
          <w:sz w:val="26"/>
          <w:szCs w:val="26"/>
        </w:rPr>
      </w:pPr>
      <w:r>
        <w:rPr>
          <w:rFonts w:ascii="Palatino Linotype" w:hAnsi="Palatino Linotype"/>
          <w:sz w:val="26"/>
          <w:szCs w:val="26"/>
        </w:rPr>
        <w:t xml:space="preserve">No ARE n.º 639.496, julgado em Repercussão Geral, anotou o Relator, Min. Cezar Peluso, que esta “Corte possui ainda jurisprudência firmada no sentido de que compete privativamente à União legislar sobre trânsito e transporte, impossibilitados os Estados-membros e municípios a legislar sobre a matéria enquanto não autorizados por Lei Complementar” (ARE 639496 RG, Relator(a): Min. </w:t>
      </w:r>
      <w:r w:rsidRPr="005306DA">
        <w:rPr>
          <w:rFonts w:ascii="Palatino Linotype" w:hAnsi="Palatino Linotype"/>
          <w:sz w:val="26"/>
          <w:szCs w:val="26"/>
        </w:rPr>
        <w:t>MINISTRO PRESIDENTE, julgado em 16/06/2011</w:t>
      </w:r>
      <w:r>
        <w:rPr>
          <w:rFonts w:ascii="Palatino Linotype" w:hAnsi="Palatino Linotype"/>
          <w:sz w:val="26"/>
          <w:szCs w:val="26"/>
        </w:rPr>
        <w:t>). Também já decidiu o plenário ser inconstitucional, por ofensa ao art. 22, XI, da Constituição, “</w:t>
      </w:r>
      <w:r w:rsidRPr="005306DA">
        <w:rPr>
          <w:rFonts w:ascii="Palatino Linotype" w:hAnsi="Palatino Linotype"/>
          <w:sz w:val="26"/>
          <w:szCs w:val="26"/>
        </w:rPr>
        <w:t>lei estadual que, sob pretexto de autorizar concessão de serviços, dispõe sobre inspeção técnica de veículos para avaliação de condições de segurança e controle de emissões de poluentes e ruídos</w:t>
      </w:r>
      <w:r>
        <w:rPr>
          <w:rFonts w:ascii="Palatino Linotype" w:hAnsi="Palatino Linotype"/>
          <w:sz w:val="26"/>
          <w:szCs w:val="26"/>
        </w:rPr>
        <w:t xml:space="preserve">” (ADI 3049, Relator(a): Min. </w:t>
      </w:r>
      <w:r w:rsidRPr="005306DA">
        <w:rPr>
          <w:rFonts w:ascii="Palatino Linotype" w:hAnsi="Palatino Linotype"/>
          <w:sz w:val="26"/>
          <w:szCs w:val="26"/>
        </w:rPr>
        <w:t>CEZAR PELUSO, Tribunal Pleno, julgado em 04/06/2007</w:t>
      </w:r>
      <w:r>
        <w:rPr>
          <w:rFonts w:ascii="Palatino Linotype" w:hAnsi="Palatino Linotype"/>
          <w:sz w:val="26"/>
          <w:szCs w:val="26"/>
        </w:rPr>
        <w:t>).</w:t>
      </w:r>
    </w:p>
    <w:p w:rsidR="003E487E" w:rsidRDefault="00C41437" w:rsidP="004C199A">
      <w:pPr>
        <w:pStyle w:val="NormalWeb"/>
        <w:spacing w:after="0" w:line="264" w:lineRule="auto"/>
        <w:ind w:firstLine="567"/>
        <w:jc w:val="both"/>
        <w:rPr>
          <w:rFonts w:ascii="Palatino Linotype" w:hAnsi="Palatino Linotype"/>
          <w:sz w:val="26"/>
          <w:szCs w:val="26"/>
        </w:rPr>
      </w:pPr>
      <w:r w:rsidRPr="00C41437">
        <w:rPr>
          <w:rFonts w:ascii="Palatino Linotype" w:hAnsi="Palatino Linotype"/>
          <w:sz w:val="26"/>
          <w:szCs w:val="26"/>
        </w:rPr>
        <w:t>Conclui-se, assim, pela inconstitucionalidade formal da Lei Municipal de Fortaleza 10.553/2016, por afronta ao artigo 22,</w:t>
      </w:r>
      <w:r>
        <w:rPr>
          <w:rFonts w:ascii="Palatino Linotype" w:hAnsi="Palatino Linotype"/>
          <w:sz w:val="26"/>
          <w:szCs w:val="26"/>
        </w:rPr>
        <w:t xml:space="preserve"> incisos IX,</w:t>
      </w:r>
      <w:r w:rsidRPr="00C41437">
        <w:rPr>
          <w:rFonts w:ascii="Palatino Linotype" w:hAnsi="Palatino Linotype"/>
          <w:sz w:val="26"/>
          <w:szCs w:val="26"/>
        </w:rPr>
        <w:t xml:space="preserve"> XI</w:t>
      </w:r>
      <w:r>
        <w:rPr>
          <w:rFonts w:ascii="Palatino Linotype" w:hAnsi="Palatino Linotype"/>
          <w:sz w:val="26"/>
          <w:szCs w:val="26"/>
        </w:rPr>
        <w:t xml:space="preserve"> e XVI, da Constituição</w:t>
      </w:r>
      <w:r w:rsidRPr="00C41437">
        <w:rPr>
          <w:rFonts w:ascii="Palatino Linotype" w:hAnsi="Palatino Linotype"/>
          <w:sz w:val="26"/>
          <w:szCs w:val="26"/>
        </w:rPr>
        <w:t>.</w:t>
      </w:r>
    </w:p>
    <w:p w:rsidR="004C199A" w:rsidRDefault="006B14E5"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No que tange ao plano da constitucionalidade material, c</w:t>
      </w:r>
      <w:r w:rsidR="00A14F4D">
        <w:rPr>
          <w:rFonts w:ascii="Palatino Linotype" w:hAnsi="Palatino Linotype"/>
          <w:sz w:val="26"/>
          <w:szCs w:val="26"/>
        </w:rPr>
        <w:t>uida-se de oportuna ocasião para que esta Corte defina os limites do poder regulador em relação</w:t>
      </w:r>
      <w:r w:rsidR="00CA3A82">
        <w:rPr>
          <w:rFonts w:ascii="Palatino Linotype" w:hAnsi="Palatino Linotype"/>
          <w:sz w:val="26"/>
          <w:szCs w:val="26"/>
        </w:rPr>
        <w:t xml:space="preserve"> ao ambiente concorrencial e ao exercício das profissões</w:t>
      </w:r>
      <w:r w:rsidR="00A14F4D">
        <w:rPr>
          <w:rFonts w:ascii="Palatino Linotype" w:hAnsi="Palatino Linotype"/>
          <w:sz w:val="26"/>
          <w:szCs w:val="26"/>
        </w:rPr>
        <w:t xml:space="preserve">, provendo segurança jurídica não apenas para as inovações disruptivas </w:t>
      </w:r>
      <w:r w:rsidR="007021DF">
        <w:rPr>
          <w:rFonts w:ascii="Palatino Linotype" w:hAnsi="Palatino Linotype"/>
          <w:sz w:val="26"/>
          <w:szCs w:val="26"/>
        </w:rPr>
        <w:t>decorrentes da novíssima “economia compartilhada”, mas também para a iniciativa privada nos mais diversos setores de mercado.</w:t>
      </w:r>
    </w:p>
    <w:p w:rsidR="00E0345B" w:rsidRDefault="00E0345B"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A definição dos lindes governamentais em relação à ordem econômica tem particular importância considerada uma especial característica da Constituição brasileira. </w:t>
      </w:r>
      <w:r w:rsidR="00F17B79">
        <w:rPr>
          <w:rFonts w:ascii="Palatino Linotype" w:hAnsi="Palatino Linotype"/>
          <w:sz w:val="26"/>
          <w:szCs w:val="26"/>
        </w:rPr>
        <w:t>De acordo com a base de dados “</w:t>
      </w:r>
      <w:r w:rsidR="00F17B79">
        <w:rPr>
          <w:rFonts w:ascii="Palatino Linotype" w:hAnsi="Palatino Linotype"/>
          <w:i/>
          <w:sz w:val="26"/>
          <w:szCs w:val="26"/>
        </w:rPr>
        <w:t>Comparative Constitutions Project</w:t>
      </w:r>
      <w:r w:rsidR="00F17B79">
        <w:rPr>
          <w:rFonts w:ascii="Palatino Linotype" w:hAnsi="Palatino Linotype"/>
          <w:sz w:val="26"/>
          <w:szCs w:val="26"/>
        </w:rPr>
        <w:t>”, um dos maiores acervos de informações sobre textos constitucionais de diferentes países, organizado pelos Professores Tom Ginsburg (</w:t>
      </w:r>
      <w:r w:rsidR="00F17B79" w:rsidRPr="00F17B79">
        <w:rPr>
          <w:rFonts w:ascii="Palatino Linotype" w:hAnsi="Palatino Linotype"/>
          <w:i/>
          <w:sz w:val="26"/>
          <w:szCs w:val="26"/>
        </w:rPr>
        <w:t>University of Chicago</w:t>
      </w:r>
      <w:r w:rsidR="00F17B79">
        <w:rPr>
          <w:rFonts w:ascii="Palatino Linotype" w:hAnsi="Palatino Linotype"/>
          <w:sz w:val="26"/>
          <w:szCs w:val="26"/>
        </w:rPr>
        <w:t>) e Zachary Elkins (</w:t>
      </w:r>
      <w:r w:rsidR="00F17B79" w:rsidRPr="00F17B79">
        <w:rPr>
          <w:rFonts w:ascii="Palatino Linotype" w:hAnsi="Palatino Linotype"/>
          <w:i/>
          <w:sz w:val="26"/>
          <w:szCs w:val="26"/>
        </w:rPr>
        <w:t>University of Texas</w:t>
      </w:r>
      <w:r w:rsidR="00F17B79">
        <w:rPr>
          <w:rFonts w:ascii="Palatino Linotype" w:hAnsi="Palatino Linotype"/>
          <w:sz w:val="26"/>
          <w:szCs w:val="26"/>
        </w:rPr>
        <w:t xml:space="preserve">), apenas 21% (vinte e um por cento) das Constituições hoje em vigor ao redor do mundo preveem expressamente algum tipo de </w:t>
      </w:r>
      <w:r w:rsidR="00F17B79">
        <w:rPr>
          <w:rFonts w:ascii="Palatino Linotype" w:hAnsi="Palatino Linotype"/>
          <w:sz w:val="26"/>
          <w:szCs w:val="26"/>
        </w:rPr>
        <w:lastRenderedPageBreak/>
        <w:t>direito a um ambiente de mercado competitivo (disponível em: &lt;</w:t>
      </w:r>
      <w:r w:rsidR="00F17B79" w:rsidRPr="00F17B79">
        <w:rPr>
          <w:rFonts w:ascii="Palatino Linotype" w:hAnsi="Palatino Linotype"/>
          <w:sz w:val="26"/>
          <w:szCs w:val="26"/>
        </w:rPr>
        <w:t>http://www.comparativeconstitutionsproject.org</w:t>
      </w:r>
      <w:r w:rsidR="00F17B79">
        <w:rPr>
          <w:rFonts w:ascii="Palatino Linotype" w:hAnsi="Palatino Linotype"/>
          <w:sz w:val="26"/>
          <w:szCs w:val="26"/>
        </w:rPr>
        <w:t>&gt;). Nem mesmo a Constituição norte-americana de 1789, precursora do modelo de constitucionalismo liberal, consagra um mandamento equivalente à liberdade de iniciativa garantida pelos artigos 1º, IV, e 170 da Constituição brasileira.</w:t>
      </w:r>
      <w:r w:rsidR="00C1265D">
        <w:rPr>
          <w:rFonts w:ascii="Palatino Linotype" w:hAnsi="Palatino Linotype"/>
          <w:sz w:val="26"/>
          <w:szCs w:val="26"/>
        </w:rPr>
        <w:t xml:space="preserve"> Por esse motivo, não se pode reduzir essa cláusula fundamental, insculpida na Carta de 1988 com o destaque de fundamento da República e sem paralelo na ampla maioria dos textos constitucionais de outras nações, a mero capricho retórico do constituinte, para afastar ou restringir injustificadamente o controle judicial de atos normativos que afrontem liberdades econômicas básicas.</w:t>
      </w:r>
    </w:p>
    <w:p w:rsidR="00A14F4D" w:rsidRDefault="00D52E5B"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Demais disso, a necessidade de restrição do poder estatal sobre o funcionamento da economia de mercado é precisamente o que conduziu ao surgimento do constitucionalismo moderno. Em um contexto histórico, a </w:t>
      </w:r>
      <w:r w:rsidRPr="00D52E5B">
        <w:rPr>
          <w:rFonts w:ascii="Palatino Linotype" w:hAnsi="Palatino Linotype"/>
          <w:sz w:val="26"/>
          <w:szCs w:val="26"/>
        </w:rPr>
        <w:t>concentração do poder de decisão sobre as atividades produtivas nas mãos do monarca e da elite que lhe era servil</w:t>
      </w:r>
      <w:r>
        <w:rPr>
          <w:rFonts w:ascii="Palatino Linotype" w:hAnsi="Palatino Linotype"/>
          <w:sz w:val="26"/>
          <w:szCs w:val="26"/>
        </w:rPr>
        <w:t xml:space="preserve"> sempre representou efetivo meio de controle dos súditos, conquanto conduzisse, concomitantemente, ao empobrecimento da sociedade. </w:t>
      </w:r>
      <w:r w:rsidR="00A46440">
        <w:rPr>
          <w:rFonts w:ascii="Palatino Linotype" w:hAnsi="Palatino Linotype"/>
          <w:sz w:val="26"/>
          <w:szCs w:val="26"/>
        </w:rPr>
        <w:t>Na Europa, desde a I</w:t>
      </w:r>
      <w:r w:rsidRPr="00D52E5B">
        <w:rPr>
          <w:rFonts w:ascii="Palatino Linotype" w:hAnsi="Palatino Linotype"/>
          <w:sz w:val="26"/>
          <w:szCs w:val="26"/>
        </w:rPr>
        <w:t xml:space="preserve">dade </w:t>
      </w:r>
      <w:r w:rsidR="00A46440">
        <w:rPr>
          <w:rFonts w:ascii="Palatino Linotype" w:hAnsi="Palatino Linotype"/>
          <w:sz w:val="26"/>
          <w:szCs w:val="26"/>
        </w:rPr>
        <w:t>M</w:t>
      </w:r>
      <w:r w:rsidRPr="00D52E5B">
        <w:rPr>
          <w:rFonts w:ascii="Palatino Linotype" w:hAnsi="Palatino Linotype"/>
          <w:sz w:val="26"/>
          <w:szCs w:val="26"/>
        </w:rPr>
        <w:t>édia, profissões eram estritamente reguladas pelas chamadas guildas, sendo vedado o seu exercício sem a autorização dos dirigentes destas. É curioso notar como ainda há traços desse período no mundo moderno: vejam-se os sobrenomes europeus que remetem a profissões, derivados da época em que todos os descendentes de uma família eram obrigados a seguir o ofício de seus ascendentes. A rigidez regulatória concentrava em uma elite de mestres artesãos, no topo da hierarquia imposta, a prerrogativa de monopólio dos meios de produção, assim como o de estabelecer salários, preços e padrões de qualidade. Nesse ambiente hostil à competição e à inovação, tornava-se mais fácil controlar as massas e assegurar a manutenção no poder da nobreza dirigente. Apesar do notório óbice ao progresso e à distribuição das riquezas, o sistema era justificado paradoxalmente na proteção ao trabalhador.</w:t>
      </w:r>
    </w:p>
    <w:p w:rsidR="00D52E5B" w:rsidRDefault="00D52E5B"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A esse respeito, os professores Daron Acemoglu (MIT) e James Robinson (Harvard)</w:t>
      </w:r>
      <w:r w:rsidR="006E0FA5">
        <w:rPr>
          <w:rFonts w:ascii="Palatino Linotype" w:hAnsi="Palatino Linotype"/>
          <w:sz w:val="26"/>
          <w:szCs w:val="26"/>
        </w:rPr>
        <w:t xml:space="preserve"> apontam que a inexistência de limites ao poder do soberano para a regência da economia e das profissões conduz a um círculo </w:t>
      </w:r>
      <w:r w:rsidR="006E0FA5">
        <w:rPr>
          <w:rFonts w:ascii="Palatino Linotype" w:hAnsi="Palatino Linotype"/>
          <w:sz w:val="26"/>
          <w:szCs w:val="26"/>
        </w:rPr>
        <w:lastRenderedPageBreak/>
        <w:t>vicioso de totalitarismo político e acentuação da miséria, responsável pelo fracasso de diversas sociedades ao longo da história, desde o império romano, passando por Veneza, até os dias atuais. Colhe-se de sua obra o seguinte excerto:</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t>“Em 1583, William Lee voltou de seus estudos na Universidade de Cambridge para tornar-se o pároco local em Calverton, Inglaterra. Elisabeth I (1558-1603) havia recentemente determinado que seus súditos sempre usassem um barrete de tricô. Lee notou que ‘as tricoteiras eram o único meio de produzir essas peças de vestuário, mas a demora para terminar cada item era demasiado longa. Pus-me a refletir. Observei minha mãe e minhas irmãs sentadas no lusco-fusco do entardecer, às voltas com suas agulhas. Se cada peça era confeccionada por duas agulhas e uma linha de fio, por que não várias agulhas para conduzir o fio?’.</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t>Esse lampejo marcou o início da mecanização da produção têxtil. Lee ficou obcecado pela construção de uma máquina que libertasse as pessoas daquele infindável tricotar manual. Segundo ele, ‘comecei a negligenciar meus deveres para com a Igreja e a família. A ideia de minha máquina e sua criação tomaram-me por completo o coração e o cérebro’.</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t>Por fim, em 1589, sua máquina de tricotar meias ficou pronta. Entusiasmado, ele se dirigiu a Londres, na esperança de conseguir uma audiência com Elisabeth I para mostrar-lhe o quanto a máquina podia ser útil e solicitar uma patente, a fim de impedir a cópia da ideia por terceiros. Alugou um prédio para montar a máquina e, com o auxílio de seu representante local no Parlamento, Richard Parkins, foi apresentado a Henry Carey, Lorde Hundson, membro do Conselho Privado da rainha. Carey conseguiu que a Rainha Elisabeth fosse conhecer a máquina, mas sua reação foi devastadora; não só se recusou a conceder a patente de Lee, como o admoestou: ‘Quanto atrevimento, Senhor Lee. Considera o que tal invenção me poderia causar aos pobres súditos. Decerto lhes traria a ruína ao privá-los de emprego, convertendo-os assim em mendigos.’ Arrasado, Lee mudou-se para a França, a fim de lá tentar sua sorte; tendo também ali fracassado, retornou à Inglaterra, onde requisitou a patente a Jaime I (1603-1625), sucessor de Elisabeth. Jaime I também recusou, com a mesma justificativa de Elisabeth.</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lastRenderedPageBreak/>
        <w:t>(...)</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t xml:space="preserve">A reação à brilhante invenção de Lee ilustra a tese central deste livro. O medo da destruição criativa é o principal motivo por que não houve uma melhoria sustentada dos padrões de vida entre as revoluções neolítica e industrial. </w:t>
      </w:r>
      <w:r w:rsidRPr="005C6C56">
        <w:rPr>
          <w:rFonts w:ascii="Palatino Linotype" w:hAnsi="Palatino Linotype"/>
          <w:b/>
          <w:sz w:val="22"/>
          <w:szCs w:val="22"/>
          <w:u w:val="single"/>
        </w:rPr>
        <w:t xml:space="preserve">A inovação </w:t>
      </w:r>
      <w:r w:rsidRPr="005C6C56">
        <w:rPr>
          <w:rFonts w:ascii="Palatino Linotype" w:hAnsi="Palatino Linotype"/>
          <w:sz w:val="22"/>
          <w:szCs w:val="22"/>
        </w:rPr>
        <w:t>tecnológica contribui para a prosperidade das sociedades humanas, mas também</w:t>
      </w:r>
      <w:r w:rsidRPr="005C6C56">
        <w:rPr>
          <w:rFonts w:ascii="Palatino Linotype" w:hAnsi="Palatino Linotype"/>
          <w:b/>
          <w:sz w:val="22"/>
          <w:szCs w:val="22"/>
        </w:rPr>
        <w:t xml:space="preserve"> </w:t>
      </w:r>
      <w:r w:rsidRPr="005C6C56">
        <w:rPr>
          <w:rFonts w:ascii="Palatino Linotype" w:hAnsi="Palatino Linotype"/>
          <w:b/>
          <w:sz w:val="22"/>
          <w:szCs w:val="22"/>
          <w:u w:val="single"/>
        </w:rPr>
        <w:t>implica</w:t>
      </w:r>
      <w:r w:rsidRPr="005C6C56">
        <w:rPr>
          <w:rFonts w:ascii="Palatino Linotype" w:hAnsi="Palatino Linotype"/>
          <w:sz w:val="22"/>
          <w:szCs w:val="22"/>
        </w:rPr>
        <w:t xml:space="preserve"> a substituição do antigo pelo novo, bem como </w:t>
      </w:r>
      <w:r w:rsidRPr="005C6C56">
        <w:rPr>
          <w:rFonts w:ascii="Palatino Linotype" w:hAnsi="Palatino Linotype"/>
          <w:b/>
          <w:sz w:val="22"/>
          <w:szCs w:val="22"/>
          <w:u w:val="single"/>
        </w:rPr>
        <w:t>a destruição dos privilégios econômicos e do poder político de alguns</w:t>
      </w:r>
      <w:r w:rsidRPr="005C6C56">
        <w:rPr>
          <w:rFonts w:ascii="Palatino Linotype" w:hAnsi="Palatino Linotype"/>
          <w:sz w:val="22"/>
          <w:szCs w:val="22"/>
        </w:rPr>
        <w:t xml:space="preserve">. Para que haja crescimento econômico sustentado, são necessárias novas tecnologias e novas maneiras de fazer as coisas (...). Em última instância, </w:t>
      </w:r>
      <w:r w:rsidRPr="005C6C56">
        <w:rPr>
          <w:rFonts w:ascii="Palatino Linotype" w:hAnsi="Palatino Linotype"/>
          <w:b/>
          <w:sz w:val="22"/>
          <w:szCs w:val="22"/>
          <w:u w:val="single"/>
        </w:rPr>
        <w:t>não foi a preocupação com o destino dos possíveis desempregados devido à invenção de Lee que levou Elisabeth I e Jaime I a lhe negarem a patente; foi seu medo de saírem perdendo politicamente – isto é, seu receio de que os prejudicados pela máquina viessem a gerar instabilidade política e pôr em risco o seu poder</w:t>
      </w:r>
      <w:r w:rsidRPr="005C6C56">
        <w:rPr>
          <w:rFonts w:ascii="Palatino Linotype" w:hAnsi="Palatino Linotype"/>
          <w:sz w:val="22"/>
          <w:szCs w:val="22"/>
        </w:rPr>
        <w:t>.”</w:t>
      </w:r>
    </w:p>
    <w:p w:rsidR="006E0FA5" w:rsidRPr="005C6C56" w:rsidRDefault="006E0FA5" w:rsidP="006E0FA5">
      <w:pPr>
        <w:pStyle w:val="NormalWeb"/>
        <w:spacing w:line="264" w:lineRule="auto"/>
        <w:ind w:left="2268"/>
        <w:jc w:val="both"/>
        <w:rPr>
          <w:rFonts w:ascii="Palatino Linotype" w:hAnsi="Palatino Linotype"/>
          <w:sz w:val="22"/>
          <w:szCs w:val="22"/>
        </w:rPr>
      </w:pPr>
      <w:r w:rsidRPr="005C6C56">
        <w:rPr>
          <w:rFonts w:ascii="Palatino Linotype" w:hAnsi="Palatino Linotype"/>
          <w:sz w:val="22"/>
          <w:szCs w:val="22"/>
        </w:rPr>
        <w:t xml:space="preserve">(ACEMOGLU, Daron; ROBINSON, James. </w:t>
      </w:r>
      <w:r w:rsidRPr="00F263B0">
        <w:rPr>
          <w:rFonts w:ascii="Palatino Linotype" w:hAnsi="Palatino Linotype"/>
          <w:i/>
          <w:sz w:val="22"/>
          <w:szCs w:val="22"/>
        </w:rPr>
        <w:t>Por que as nações fracassam – As origens do poder, das prosperidade e da pobreza</w:t>
      </w:r>
      <w:r w:rsidRPr="005C6C56">
        <w:rPr>
          <w:rFonts w:ascii="Palatino Linotype" w:hAnsi="Palatino Linotype"/>
          <w:sz w:val="22"/>
          <w:szCs w:val="22"/>
        </w:rPr>
        <w:t>. Trad. Cristiana Serra. 1ª ed. Rio de Janeiro: Elsevier, 2012. p. 143-144 – sem grifos no original)</w:t>
      </w:r>
    </w:p>
    <w:p w:rsidR="00AE3DAF" w:rsidRDefault="00AE3DAF" w:rsidP="004C199A">
      <w:pPr>
        <w:pStyle w:val="NormalWeb"/>
        <w:spacing w:after="0" w:line="264" w:lineRule="auto"/>
        <w:ind w:firstLine="567"/>
        <w:jc w:val="both"/>
        <w:rPr>
          <w:rFonts w:ascii="Palatino Linotype" w:hAnsi="Palatino Linotype"/>
          <w:sz w:val="26"/>
          <w:szCs w:val="26"/>
        </w:rPr>
      </w:pPr>
      <w:r w:rsidRPr="00AE3DAF">
        <w:rPr>
          <w:rFonts w:ascii="Palatino Linotype" w:hAnsi="Palatino Linotype"/>
          <w:sz w:val="26"/>
          <w:szCs w:val="26"/>
        </w:rPr>
        <w:t>O grande salto de progresso da humanidade, que nos permitiu gozar de padrões de vida nunca antes experimentados, somente foi possível com o advento do constitucionalismo – no caso inglês, ante a derrocada da dinastia absolutista dos Stuart e a imposição, pela revolução gloriosa, de uma monarquia constitucional</w:t>
      </w:r>
      <w:r>
        <w:rPr>
          <w:rFonts w:ascii="Palatino Linotype" w:hAnsi="Palatino Linotype"/>
          <w:sz w:val="26"/>
          <w:szCs w:val="26"/>
        </w:rPr>
        <w:t>, foram criadas as instituições que conduziram à revolução industrial</w:t>
      </w:r>
      <w:r w:rsidRPr="00AE3DAF">
        <w:rPr>
          <w:rFonts w:ascii="Palatino Linotype" w:hAnsi="Palatino Linotype"/>
          <w:sz w:val="26"/>
          <w:szCs w:val="26"/>
        </w:rPr>
        <w:t>.</w:t>
      </w:r>
      <w:r>
        <w:rPr>
          <w:rFonts w:ascii="Palatino Linotype" w:hAnsi="Palatino Linotype"/>
          <w:sz w:val="26"/>
          <w:szCs w:val="26"/>
        </w:rPr>
        <w:t xml:space="preserve"> Nesse sentido, </w:t>
      </w:r>
      <w:r w:rsidRPr="00AE3DAF">
        <w:rPr>
          <w:rFonts w:ascii="Palatino Linotype" w:hAnsi="Palatino Linotype"/>
          <w:sz w:val="26"/>
          <w:szCs w:val="26"/>
        </w:rPr>
        <w:t xml:space="preserve">o enriquecimento dos mais pobres é resultado direto de uma economia mais produtiva, ao passo que são condições fundamentais para </w:t>
      </w:r>
      <w:r>
        <w:rPr>
          <w:rFonts w:ascii="Palatino Linotype" w:hAnsi="Palatino Linotype"/>
          <w:sz w:val="26"/>
          <w:szCs w:val="26"/>
        </w:rPr>
        <w:t>tanto</w:t>
      </w:r>
      <w:r w:rsidRPr="00AE3DAF">
        <w:rPr>
          <w:rFonts w:ascii="Palatino Linotype" w:hAnsi="Palatino Linotype"/>
          <w:sz w:val="26"/>
          <w:szCs w:val="26"/>
        </w:rPr>
        <w:t xml:space="preserve"> a ausência de intervenções arbitrárias por parte dos governantes e a garantia da liberdade de organização econômica.</w:t>
      </w:r>
      <w:r>
        <w:rPr>
          <w:rFonts w:ascii="Palatino Linotype" w:hAnsi="Palatino Linotype"/>
          <w:sz w:val="26"/>
          <w:szCs w:val="26"/>
        </w:rPr>
        <w:t xml:space="preserve"> </w:t>
      </w:r>
      <w:r w:rsidRPr="00AE3DAF">
        <w:rPr>
          <w:rFonts w:ascii="Palatino Linotype" w:hAnsi="Palatino Linotype"/>
          <w:sz w:val="26"/>
          <w:szCs w:val="26"/>
        </w:rPr>
        <w:t xml:space="preserve">Foi pela falta desses componentes, concluem Acemoglu e Robinson, que não houve qualquer melhoria significativa de padrões de vida </w:t>
      </w:r>
      <w:r>
        <w:rPr>
          <w:rFonts w:ascii="Palatino Linotype" w:hAnsi="Palatino Linotype"/>
          <w:sz w:val="26"/>
          <w:szCs w:val="26"/>
        </w:rPr>
        <w:t xml:space="preserve">da humanidade </w:t>
      </w:r>
      <w:r w:rsidRPr="00AE3DAF">
        <w:rPr>
          <w:rFonts w:ascii="Palatino Linotype" w:hAnsi="Palatino Linotype"/>
          <w:sz w:val="26"/>
          <w:szCs w:val="26"/>
        </w:rPr>
        <w:t>entre as revoluções neolítica, ainda na pré-história, e industrial, no fim do Século XVIII.</w:t>
      </w:r>
    </w:p>
    <w:p w:rsidR="00BB6FDF" w:rsidRDefault="002F399A" w:rsidP="004C199A">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A explicação para essa correlação entre inexistência de limites institucionais ao poder regulatório e fracasso econômico é farta na literatura econômica. O ganhador do prêmio Nobel de economia George </w:t>
      </w:r>
      <w:r>
        <w:rPr>
          <w:rFonts w:ascii="Palatino Linotype" w:hAnsi="Palatino Linotype"/>
          <w:sz w:val="26"/>
          <w:szCs w:val="26"/>
        </w:rPr>
        <w:lastRenderedPageBreak/>
        <w:t>Stigler já ensinava, em seu clássico “</w:t>
      </w:r>
      <w:r>
        <w:rPr>
          <w:rFonts w:ascii="Palatino Linotype" w:hAnsi="Palatino Linotype"/>
          <w:i/>
          <w:sz w:val="26"/>
          <w:szCs w:val="26"/>
        </w:rPr>
        <w:t>The theory of economic regulation</w:t>
      </w:r>
      <w:r>
        <w:rPr>
          <w:rFonts w:ascii="Palatino Linotype" w:hAnsi="Palatino Linotype"/>
          <w:sz w:val="26"/>
          <w:szCs w:val="26"/>
        </w:rPr>
        <w:t xml:space="preserve">”, que, </w:t>
      </w:r>
      <w:r>
        <w:rPr>
          <w:rFonts w:ascii="Palatino Linotype" w:hAnsi="Palatino Linotype"/>
          <w:i/>
          <w:sz w:val="26"/>
          <w:szCs w:val="26"/>
        </w:rPr>
        <w:t>in verbis</w:t>
      </w:r>
      <w:r>
        <w:rPr>
          <w:rFonts w:ascii="Palatino Linotype" w:hAnsi="Palatino Linotype"/>
          <w:sz w:val="26"/>
          <w:szCs w:val="26"/>
        </w:rPr>
        <w:t>: “com seu poder de proibir ou compelir, de retirar ou conceder dinheiro, o Estado</w:t>
      </w:r>
      <w:r w:rsidRPr="002F399A">
        <w:rPr>
          <w:rFonts w:ascii="Palatino Linotype" w:hAnsi="Palatino Linotype"/>
          <w:sz w:val="26"/>
          <w:szCs w:val="26"/>
        </w:rPr>
        <w:t>, de forma seletiva,</w:t>
      </w:r>
      <w:r>
        <w:rPr>
          <w:rFonts w:ascii="Palatino Linotype" w:hAnsi="Palatino Linotype"/>
          <w:sz w:val="26"/>
          <w:szCs w:val="26"/>
        </w:rPr>
        <w:t xml:space="preserve"> pode e efetivamente ajuda ou prejudica um vasto número de indústrias” (</w:t>
      </w:r>
      <w:r w:rsidRPr="002F399A">
        <w:rPr>
          <w:rFonts w:ascii="Palatino Linotype" w:hAnsi="Palatino Linotype"/>
          <w:i/>
          <w:sz w:val="26"/>
          <w:szCs w:val="26"/>
        </w:rPr>
        <w:t>in</w:t>
      </w:r>
      <w:r>
        <w:rPr>
          <w:rFonts w:ascii="Palatino Linotype" w:hAnsi="Palatino Linotype"/>
          <w:sz w:val="26"/>
          <w:szCs w:val="26"/>
        </w:rPr>
        <w:t xml:space="preserve">: </w:t>
      </w:r>
      <w:r w:rsidRPr="002F399A">
        <w:rPr>
          <w:rFonts w:ascii="Palatino Linotype" w:hAnsi="Palatino Linotype"/>
          <w:i/>
          <w:sz w:val="26"/>
          <w:szCs w:val="26"/>
        </w:rPr>
        <w:t>The Bell Journal of Economics and Management Science</w:t>
      </w:r>
      <w:r w:rsidRPr="002F399A">
        <w:rPr>
          <w:rFonts w:ascii="Palatino Linotype" w:hAnsi="Palatino Linotype"/>
          <w:sz w:val="26"/>
          <w:szCs w:val="26"/>
        </w:rPr>
        <w:t>, Vol. 2, No. 1 (Spring,1971), pp. 3-21</w:t>
      </w:r>
      <w:r>
        <w:rPr>
          <w:rFonts w:ascii="Palatino Linotype" w:hAnsi="Palatino Linotype"/>
          <w:sz w:val="26"/>
          <w:szCs w:val="26"/>
        </w:rPr>
        <w:t xml:space="preserve">. </w:t>
      </w:r>
      <w:r w:rsidRPr="002F399A">
        <w:rPr>
          <w:rFonts w:ascii="Palatino Linotype" w:hAnsi="Palatino Linotype"/>
          <w:sz w:val="26"/>
          <w:szCs w:val="26"/>
          <w:lang w:val="en-US"/>
        </w:rPr>
        <w:t>No original: “</w:t>
      </w:r>
      <w:r w:rsidRPr="002F399A">
        <w:rPr>
          <w:rFonts w:ascii="Palatino Linotype" w:hAnsi="Palatino Linotype"/>
          <w:i/>
          <w:sz w:val="26"/>
          <w:szCs w:val="26"/>
          <w:lang w:val="en-US"/>
        </w:rPr>
        <w:t>With its power to prohibit or compel, the state can and does selectively help or hurt a vast number of industries.</w:t>
      </w:r>
      <w:r w:rsidRPr="002F399A">
        <w:rPr>
          <w:rFonts w:ascii="Palatino Linotype" w:hAnsi="Palatino Linotype"/>
          <w:sz w:val="26"/>
          <w:szCs w:val="26"/>
          <w:lang w:val="en-US"/>
        </w:rPr>
        <w:t>”)</w:t>
      </w:r>
      <w:r>
        <w:rPr>
          <w:rFonts w:ascii="Palatino Linotype" w:hAnsi="Palatino Linotype"/>
          <w:sz w:val="26"/>
          <w:szCs w:val="26"/>
          <w:lang w:val="en-US"/>
        </w:rPr>
        <w:t xml:space="preserve">. </w:t>
      </w:r>
      <w:r w:rsidRPr="002F399A">
        <w:rPr>
          <w:rFonts w:ascii="Palatino Linotype" w:hAnsi="Palatino Linotype"/>
          <w:sz w:val="26"/>
          <w:szCs w:val="26"/>
        </w:rPr>
        <w:t>Observou o aclamado economista que o processo politico por meio do qual regulaç</w:t>
      </w:r>
      <w:r>
        <w:rPr>
          <w:rFonts w:ascii="Palatino Linotype" w:hAnsi="Palatino Linotype"/>
          <w:sz w:val="26"/>
          <w:szCs w:val="26"/>
        </w:rPr>
        <w:t>ões são editadas é frequentemente capturado por grupos de poder</w:t>
      </w:r>
      <w:r w:rsidR="00BB6FDF">
        <w:rPr>
          <w:rFonts w:ascii="Palatino Linotype" w:hAnsi="Palatino Linotype"/>
          <w:sz w:val="26"/>
          <w:szCs w:val="26"/>
        </w:rPr>
        <w:t xml:space="preserve"> interessados em obter, por essa via, proveitos superiores ao que seria possível em um ambiente de livre competição. Segundo ele, um recurso político comumente desejado por esses grupos é o poder estatal de controle de entrada de novos competidores em um dado mercado. Nessa hipótese, os benefícios da medida restritiva costumam se concentrar em um pequeno grupo, ao passo que os custos são dispersos por toda a sociedade, diminuindo a resistência política. Nas palavras de Stigler</w:t>
      </w:r>
      <w:r w:rsidR="00602541">
        <w:rPr>
          <w:rFonts w:ascii="Palatino Linotype" w:hAnsi="Palatino Linotype"/>
          <w:sz w:val="26"/>
          <w:szCs w:val="26"/>
        </w:rPr>
        <w:t>, com expressa referência à regulação de ocupações, lê-se que</w:t>
      </w:r>
      <w:r w:rsidR="00BB6FDF">
        <w:rPr>
          <w:rFonts w:ascii="Palatino Linotype" w:hAnsi="Palatino Linotype"/>
          <w:sz w:val="26"/>
          <w:szCs w:val="26"/>
        </w:rPr>
        <w:t>:</w:t>
      </w:r>
    </w:p>
    <w:p w:rsidR="00602541" w:rsidRPr="00602541" w:rsidRDefault="00BB6FDF" w:rsidP="00602541">
      <w:pPr>
        <w:pStyle w:val="NormalWeb"/>
        <w:spacing w:after="0" w:line="264" w:lineRule="auto"/>
        <w:ind w:left="2268"/>
        <w:jc w:val="both"/>
        <w:rPr>
          <w:rFonts w:ascii="Palatino Linotype" w:hAnsi="Palatino Linotype"/>
          <w:sz w:val="22"/>
          <w:szCs w:val="22"/>
        </w:rPr>
      </w:pPr>
      <w:r w:rsidRPr="00602541">
        <w:rPr>
          <w:rFonts w:ascii="Palatino Linotype" w:hAnsi="Palatino Linotype"/>
          <w:sz w:val="22"/>
          <w:szCs w:val="22"/>
        </w:rPr>
        <w:t xml:space="preserve">“A indústria que busca a regulação deve estar preparada </w:t>
      </w:r>
      <w:r w:rsidR="00602541" w:rsidRPr="00602541">
        <w:rPr>
          <w:rFonts w:ascii="Palatino Linotype" w:hAnsi="Palatino Linotype"/>
          <w:sz w:val="22"/>
          <w:szCs w:val="22"/>
        </w:rPr>
        <w:t>para fornecer as duas coisas de que um partido necessita: votos e recursos. Os recursos podem ser providos por contribuições de campanhas, contribuições em serviços (o empresário que capitaneia um comitê de arrecadação de fundos), e métodos mais indiretos como empregar trabalhadores do partido. Os votos em favor da regulação são concentrados, enquanto os votos em contrário são dispersos (...).</w:t>
      </w:r>
    </w:p>
    <w:p w:rsidR="00C0694A" w:rsidRPr="00602541" w:rsidRDefault="00602541" w:rsidP="00602541">
      <w:pPr>
        <w:pStyle w:val="NormalWeb"/>
        <w:spacing w:after="0" w:line="264" w:lineRule="auto"/>
        <w:ind w:left="2268"/>
        <w:jc w:val="both"/>
        <w:rPr>
          <w:rFonts w:ascii="Palatino Linotype" w:hAnsi="Palatino Linotype"/>
          <w:sz w:val="22"/>
          <w:szCs w:val="22"/>
        </w:rPr>
      </w:pPr>
      <w:r w:rsidRPr="00602541">
        <w:rPr>
          <w:rFonts w:ascii="Palatino Linotype" w:hAnsi="Palatino Linotype"/>
          <w:sz w:val="22"/>
          <w:szCs w:val="22"/>
        </w:rPr>
        <w:t>O licenciamento de profissões é um possível uso do processo político para melhorar as circunstâncias econômicas de um grupo. A licença é uma barreira efetiva de entrada porque o exercício da ocupação sem a licença configura crime.</w:t>
      </w:r>
      <w:r w:rsidR="00BB6FDF" w:rsidRPr="00602541">
        <w:rPr>
          <w:rFonts w:ascii="Palatino Linotype" w:hAnsi="Palatino Linotype"/>
          <w:sz w:val="22"/>
          <w:szCs w:val="22"/>
        </w:rPr>
        <w:t>”</w:t>
      </w:r>
    </w:p>
    <w:p w:rsidR="00602541" w:rsidRPr="00602541" w:rsidRDefault="00602541" w:rsidP="00602541">
      <w:pPr>
        <w:pStyle w:val="NormalWeb"/>
        <w:spacing w:after="0" w:line="264" w:lineRule="auto"/>
        <w:ind w:left="2268"/>
        <w:jc w:val="both"/>
        <w:rPr>
          <w:rFonts w:ascii="Palatino Linotype" w:hAnsi="Palatino Linotype"/>
          <w:sz w:val="22"/>
          <w:szCs w:val="22"/>
          <w:lang w:val="en-US"/>
        </w:rPr>
      </w:pPr>
      <w:r w:rsidRPr="00602541">
        <w:rPr>
          <w:rFonts w:ascii="Palatino Linotype" w:hAnsi="Palatino Linotype"/>
          <w:sz w:val="22"/>
          <w:szCs w:val="22"/>
          <w:lang w:val="en-US"/>
        </w:rPr>
        <w:t>(No original: “The industry which seeks regulation must be prepared to pay with the two things a party needs: votes and resources. The re- sources may be provided by campaign contributions, contributed services (the businessman heads a fund-raising committee), and more indirect methods such as the employment of party workers. The votes in support of the measure are rallied, and the votes in opposition are disperse (…).</w:t>
      </w:r>
    </w:p>
    <w:p w:rsidR="00602541" w:rsidRPr="00602541" w:rsidRDefault="00602541" w:rsidP="00602541">
      <w:pPr>
        <w:pStyle w:val="NormalWeb"/>
        <w:spacing w:after="0" w:line="264" w:lineRule="auto"/>
        <w:ind w:left="2268"/>
        <w:jc w:val="both"/>
        <w:rPr>
          <w:rFonts w:ascii="Palatino Linotype" w:hAnsi="Palatino Linotype"/>
          <w:sz w:val="22"/>
          <w:szCs w:val="22"/>
          <w:lang w:val="en-US"/>
        </w:rPr>
      </w:pPr>
      <w:r w:rsidRPr="00602541">
        <w:rPr>
          <w:rFonts w:ascii="Palatino Linotype" w:hAnsi="Palatino Linotype"/>
          <w:sz w:val="22"/>
          <w:szCs w:val="22"/>
          <w:lang w:val="en-US"/>
        </w:rPr>
        <w:lastRenderedPageBreak/>
        <w:t>The licensing of occupations is a possible use of the political process to improve the economic circumstances of a group. The license is an effective barrier to entry because occupational practice without the license is a criminal offense.”)</w:t>
      </w:r>
    </w:p>
    <w:p w:rsidR="00BD2039" w:rsidRDefault="00BD2039"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Estabelecido que o exercício de atividades econômicas e profissionais por particulares deve ser protegido da coerção arbitrária por parte do Estado, cumpre definir a quem compete, em última instância, a fiscalização da observância dos limites do poder regulador</w:t>
      </w:r>
      <w:r w:rsidR="006E0FA5">
        <w:rPr>
          <w:rFonts w:ascii="Palatino Linotype" w:hAnsi="Palatino Linotype"/>
          <w:sz w:val="26"/>
          <w:szCs w:val="26"/>
        </w:rPr>
        <w:t>.</w:t>
      </w:r>
      <w:r>
        <w:rPr>
          <w:rFonts w:ascii="Palatino Linotype" w:hAnsi="Palatino Linotype"/>
          <w:sz w:val="26"/>
          <w:szCs w:val="26"/>
        </w:rPr>
        <w:t xml:space="preserve"> Limites definidos e implementados pelo próprio ente limitado desafiam a ideia de estado de direito, </w:t>
      </w:r>
      <w:r w:rsidR="00BE6F3C">
        <w:rPr>
          <w:rFonts w:ascii="Palatino Linotype" w:hAnsi="Palatino Linotype"/>
          <w:sz w:val="26"/>
          <w:szCs w:val="26"/>
        </w:rPr>
        <w:t>dando azo ao surgimento de instância hegemônica de poder</w:t>
      </w:r>
      <w:r w:rsidRPr="00BD2039">
        <w:rPr>
          <w:rFonts w:ascii="Palatino Linotype" w:hAnsi="Palatino Linotype"/>
          <w:sz w:val="26"/>
          <w:szCs w:val="26"/>
        </w:rPr>
        <w:t xml:space="preserve">. Consoante a clássica formulação de Friedrich Hayek, “o </w:t>
      </w:r>
      <w:r w:rsidRPr="00BD2039">
        <w:rPr>
          <w:rFonts w:ascii="Palatino Linotype" w:hAnsi="Palatino Linotype"/>
          <w:i/>
          <w:sz w:val="26"/>
          <w:szCs w:val="26"/>
        </w:rPr>
        <w:t>Rule of Law</w:t>
      </w:r>
      <w:r w:rsidRPr="00BD2039">
        <w:rPr>
          <w:rFonts w:ascii="Palatino Linotype" w:hAnsi="Palatino Linotype"/>
          <w:sz w:val="26"/>
          <w:szCs w:val="26"/>
        </w:rPr>
        <w:t xml:space="preserve"> exige que a discricionariedade administrativa na ação coercitiva (</w:t>
      </w:r>
      <w:r w:rsidRPr="00BD2039">
        <w:rPr>
          <w:rFonts w:ascii="Palatino Linotype" w:hAnsi="Palatino Linotype"/>
          <w:i/>
          <w:sz w:val="26"/>
          <w:szCs w:val="26"/>
        </w:rPr>
        <w:t>i. e.</w:t>
      </w:r>
      <w:r w:rsidRPr="00BD2039">
        <w:rPr>
          <w:rFonts w:ascii="Palatino Linotype" w:hAnsi="Palatino Linotype"/>
          <w:sz w:val="26"/>
          <w:szCs w:val="26"/>
        </w:rPr>
        <w:t>, interferindo na pessoa e na propriedade do cidadão privado) seja sempre sujeita a escrutínio por uma Corte independente”</w:t>
      </w:r>
      <w:r w:rsidR="00BE6F3C">
        <w:rPr>
          <w:rFonts w:ascii="Palatino Linotype" w:hAnsi="Palatino Linotype"/>
          <w:sz w:val="26"/>
          <w:szCs w:val="26"/>
        </w:rPr>
        <w:t xml:space="preserve"> (</w:t>
      </w:r>
      <w:r w:rsidR="00BE6F3C" w:rsidRPr="00BE6F3C">
        <w:rPr>
          <w:rFonts w:ascii="Palatino Linotype" w:hAnsi="Palatino Linotype"/>
          <w:sz w:val="26"/>
          <w:szCs w:val="26"/>
        </w:rPr>
        <w:t xml:space="preserve">HAYEK, Friedrich August. </w:t>
      </w:r>
      <w:r w:rsidR="00BE6F3C" w:rsidRPr="00BE6F3C">
        <w:rPr>
          <w:rFonts w:ascii="Palatino Linotype" w:hAnsi="Palatino Linotype"/>
          <w:i/>
          <w:sz w:val="26"/>
          <w:szCs w:val="26"/>
          <w:lang w:val="en-US"/>
        </w:rPr>
        <w:t>The Political Ideal of the Rule of Law</w:t>
      </w:r>
      <w:r w:rsidR="00BE6F3C" w:rsidRPr="00BE6F3C">
        <w:rPr>
          <w:rFonts w:ascii="Palatino Linotype" w:hAnsi="Palatino Linotype"/>
          <w:sz w:val="26"/>
          <w:szCs w:val="26"/>
          <w:lang w:val="en-US"/>
        </w:rPr>
        <w:t xml:space="preserve">. </w:t>
      </w:r>
      <w:r w:rsidR="00BE6F3C">
        <w:rPr>
          <w:rFonts w:ascii="Palatino Linotype" w:hAnsi="Palatino Linotype"/>
          <w:i/>
          <w:sz w:val="26"/>
          <w:szCs w:val="26"/>
          <w:lang w:val="en-US"/>
        </w:rPr>
        <w:t>In</w:t>
      </w:r>
      <w:r w:rsidR="00BE6F3C" w:rsidRPr="00BE6F3C">
        <w:rPr>
          <w:rFonts w:ascii="Palatino Linotype" w:hAnsi="Palatino Linotype"/>
          <w:sz w:val="26"/>
          <w:szCs w:val="26"/>
          <w:lang w:val="en-US"/>
        </w:rPr>
        <w:t>:</w:t>
      </w:r>
      <w:r w:rsidR="00BE6F3C">
        <w:rPr>
          <w:rFonts w:ascii="Palatino Linotype" w:hAnsi="Palatino Linotype"/>
          <w:i/>
          <w:sz w:val="26"/>
          <w:szCs w:val="26"/>
          <w:lang w:val="en-US"/>
        </w:rPr>
        <w:t xml:space="preserve"> </w:t>
      </w:r>
      <w:r w:rsidR="00BE6F3C" w:rsidRPr="00BE6F3C">
        <w:rPr>
          <w:rFonts w:ascii="Palatino Linotype" w:hAnsi="Palatino Linotype"/>
          <w:sz w:val="26"/>
          <w:szCs w:val="26"/>
          <w:lang w:val="en-US"/>
        </w:rPr>
        <w:t>National Bank of Egypt fiftieth anniversary commemoration lectures. National Bank of Egypt, 1955. p. 45</w:t>
      </w:r>
      <w:r w:rsidR="00BE6F3C">
        <w:rPr>
          <w:rFonts w:ascii="Palatino Linotype" w:hAnsi="Palatino Linotype"/>
          <w:sz w:val="26"/>
          <w:szCs w:val="26"/>
          <w:lang w:val="en-US"/>
        </w:rPr>
        <w:t>. No original: “</w:t>
      </w:r>
      <w:r w:rsidR="00BE6F3C" w:rsidRPr="00BE6F3C">
        <w:rPr>
          <w:rFonts w:ascii="Palatino Linotype" w:hAnsi="Palatino Linotype"/>
          <w:i/>
          <w:sz w:val="26"/>
          <w:szCs w:val="26"/>
          <w:lang w:val="en-US"/>
        </w:rPr>
        <w:t>the Rule of Law requires that administrative discretion in coercive action (i.e. in interfering with the person and property of the private citizen) must always be subject to review by an independent court</w:t>
      </w:r>
      <w:r w:rsidR="00BE6F3C">
        <w:rPr>
          <w:rFonts w:ascii="Palatino Linotype" w:hAnsi="Palatino Linotype"/>
          <w:sz w:val="26"/>
          <w:szCs w:val="26"/>
          <w:lang w:val="en-US"/>
        </w:rPr>
        <w:t>”</w:t>
      </w:r>
      <w:r w:rsidR="00BE6F3C" w:rsidRPr="00BE6F3C">
        <w:rPr>
          <w:rFonts w:ascii="Palatino Linotype" w:hAnsi="Palatino Linotype"/>
          <w:sz w:val="26"/>
          <w:szCs w:val="26"/>
          <w:lang w:val="en-US"/>
        </w:rPr>
        <w:t>)</w:t>
      </w:r>
      <w:r w:rsidRPr="00BE6F3C">
        <w:rPr>
          <w:rFonts w:ascii="Palatino Linotype" w:hAnsi="Palatino Linotype"/>
          <w:sz w:val="26"/>
          <w:szCs w:val="26"/>
          <w:lang w:val="en-US"/>
        </w:rPr>
        <w:t>.</w:t>
      </w:r>
      <w:r w:rsidR="00BE6F3C">
        <w:rPr>
          <w:rFonts w:ascii="Palatino Linotype" w:hAnsi="Palatino Linotype"/>
          <w:sz w:val="26"/>
          <w:szCs w:val="26"/>
          <w:lang w:val="en-US"/>
        </w:rPr>
        <w:t xml:space="preserve"> </w:t>
      </w:r>
      <w:r w:rsidR="00BE6F3C" w:rsidRPr="00BE6F3C">
        <w:rPr>
          <w:rFonts w:ascii="Palatino Linotype" w:hAnsi="Palatino Linotype"/>
          <w:sz w:val="26"/>
          <w:szCs w:val="26"/>
        </w:rPr>
        <w:t>À luz do sistema de freios e contrapesos estabelecidos na Constitu</w:t>
      </w:r>
      <w:r w:rsidR="00BE6F3C">
        <w:rPr>
          <w:rFonts w:ascii="Palatino Linotype" w:hAnsi="Palatino Linotype"/>
          <w:sz w:val="26"/>
          <w:szCs w:val="26"/>
        </w:rPr>
        <w:t>ição brasileira, compete ao Poder Judiciário invalidar atos normativos que estabeleçam restrições desproporcionais à livre in</w:t>
      </w:r>
      <w:r w:rsidR="00310D3B">
        <w:rPr>
          <w:rFonts w:ascii="Palatino Linotype" w:hAnsi="Palatino Linotype"/>
          <w:sz w:val="26"/>
          <w:szCs w:val="26"/>
        </w:rPr>
        <w:t>i</w:t>
      </w:r>
      <w:r w:rsidR="00BE6F3C">
        <w:rPr>
          <w:rFonts w:ascii="Palatino Linotype" w:hAnsi="Palatino Linotype"/>
          <w:sz w:val="26"/>
          <w:szCs w:val="26"/>
        </w:rPr>
        <w:t>ciativa e à liberdade profissional.</w:t>
      </w:r>
    </w:p>
    <w:p w:rsidR="008E5F57" w:rsidRDefault="00BE6F3C"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Neste sentido já decidiu este Supremo Tribunal Federal</w:t>
      </w:r>
      <w:r w:rsidR="008E5F57">
        <w:rPr>
          <w:rFonts w:ascii="Palatino Linotype" w:hAnsi="Palatino Linotype"/>
          <w:sz w:val="26"/>
          <w:szCs w:val="26"/>
        </w:rPr>
        <w:t xml:space="preserve"> em mais de uma oportunidade</w:t>
      </w:r>
      <w:r>
        <w:rPr>
          <w:rFonts w:ascii="Palatino Linotype" w:hAnsi="Palatino Linotype"/>
          <w:sz w:val="26"/>
          <w:szCs w:val="26"/>
        </w:rPr>
        <w:t xml:space="preserve">, afastando limitações arbitrárias ao exercício de atividades profissionais. Assim, no julgamento do </w:t>
      </w:r>
      <w:r w:rsidRPr="00BE6F3C">
        <w:rPr>
          <w:rFonts w:ascii="Palatino Linotype" w:hAnsi="Palatino Linotype"/>
          <w:sz w:val="26"/>
          <w:szCs w:val="26"/>
        </w:rPr>
        <w:t xml:space="preserve">RE </w:t>
      </w:r>
      <w:r>
        <w:rPr>
          <w:rFonts w:ascii="Palatino Linotype" w:hAnsi="Palatino Linotype"/>
          <w:sz w:val="26"/>
          <w:szCs w:val="26"/>
        </w:rPr>
        <w:t xml:space="preserve">nº </w:t>
      </w:r>
      <w:r w:rsidRPr="00BE6F3C">
        <w:rPr>
          <w:rFonts w:ascii="Palatino Linotype" w:hAnsi="Palatino Linotype"/>
          <w:sz w:val="26"/>
          <w:szCs w:val="26"/>
        </w:rPr>
        <w:t xml:space="preserve">414426 </w:t>
      </w:r>
      <w:r>
        <w:rPr>
          <w:rFonts w:ascii="Palatino Linotype" w:hAnsi="Palatino Linotype"/>
          <w:sz w:val="26"/>
          <w:szCs w:val="26"/>
        </w:rPr>
        <w:t xml:space="preserve">(Relator(a): </w:t>
      </w:r>
      <w:r w:rsidRPr="00BE6F3C">
        <w:rPr>
          <w:rFonts w:ascii="Palatino Linotype" w:hAnsi="Palatino Linotype"/>
          <w:sz w:val="26"/>
          <w:szCs w:val="26"/>
        </w:rPr>
        <w:t>Min. ELLEN GRACIE, Tribunal Pleno, julgado em 01/08/2011</w:t>
      </w:r>
      <w:r>
        <w:rPr>
          <w:rFonts w:ascii="Palatino Linotype" w:hAnsi="Palatino Linotype"/>
          <w:sz w:val="26"/>
          <w:szCs w:val="26"/>
        </w:rPr>
        <w:t xml:space="preserve">), este Plenário definiu expressamente que, </w:t>
      </w:r>
      <w:r>
        <w:rPr>
          <w:rFonts w:ascii="Palatino Linotype" w:hAnsi="Palatino Linotype"/>
          <w:i/>
          <w:sz w:val="26"/>
          <w:szCs w:val="26"/>
        </w:rPr>
        <w:t>in verbis</w:t>
      </w:r>
      <w:r>
        <w:rPr>
          <w:rFonts w:ascii="Palatino Linotype" w:hAnsi="Palatino Linotype"/>
          <w:sz w:val="26"/>
          <w:szCs w:val="26"/>
        </w:rPr>
        <w:t>: “</w:t>
      </w:r>
      <w:r w:rsidRPr="00BE6F3C">
        <w:rPr>
          <w:rFonts w:ascii="Palatino Linotype" w:hAnsi="Palatino Linotype"/>
          <w:i/>
          <w:sz w:val="26"/>
          <w:szCs w:val="26"/>
        </w:rPr>
        <w:t>Nem todos os ofícios ou profissões podem ser condicionadas ao cumprimento de condições legais para o seu exercício. A regra é a liberdade. Apenas quando houver potencial lesivo na atividade é que pode ser exigida inscrição em conselho de fiscalização profissional</w:t>
      </w:r>
      <w:r w:rsidRPr="00BE6F3C">
        <w:rPr>
          <w:rFonts w:ascii="Palatino Linotype" w:hAnsi="Palatino Linotype"/>
          <w:sz w:val="26"/>
          <w:szCs w:val="26"/>
        </w:rPr>
        <w:t>.</w:t>
      </w:r>
      <w:r>
        <w:rPr>
          <w:rFonts w:ascii="Palatino Linotype" w:hAnsi="Palatino Linotype"/>
          <w:sz w:val="26"/>
          <w:szCs w:val="26"/>
        </w:rPr>
        <w:t>”</w:t>
      </w:r>
      <w:r w:rsidR="008E5F57">
        <w:rPr>
          <w:rFonts w:ascii="Palatino Linotype" w:hAnsi="Palatino Linotype"/>
          <w:sz w:val="26"/>
          <w:szCs w:val="26"/>
        </w:rPr>
        <w:t xml:space="preserve"> Por sua vez, ao apreciar a constitucionalidade do controle estatal da profissão de jornalista, assim se manifestou a Corte, em ementa da lavra do Min. Gilmar Mendes:</w:t>
      </w:r>
    </w:p>
    <w:p w:rsidR="008E5F57" w:rsidRDefault="008E5F57" w:rsidP="008E5F57">
      <w:pPr>
        <w:pStyle w:val="NormalWeb"/>
        <w:spacing w:after="0" w:line="264" w:lineRule="auto"/>
        <w:ind w:left="2268"/>
        <w:jc w:val="both"/>
        <w:rPr>
          <w:rFonts w:ascii="Palatino Linotype" w:hAnsi="Palatino Linotype"/>
          <w:sz w:val="22"/>
          <w:szCs w:val="22"/>
        </w:rPr>
      </w:pPr>
      <w:r w:rsidRPr="008E5F57">
        <w:rPr>
          <w:rFonts w:ascii="Palatino Linotype" w:hAnsi="Palatino Linotype"/>
          <w:sz w:val="22"/>
          <w:szCs w:val="22"/>
        </w:rPr>
        <w:lastRenderedPageBreak/>
        <w:t xml:space="preserve">“ÂMBITO DE PROTEÇÃO DA LIBERDADE DE EXERCÍCIO PROFISSIONAL (ART. 5º, INCISO XIII, DA CONSTITUIÇÃO). IDENTIFICAÇÃO DAS RESTRIÇÕES E CONFORMAÇÕES LEGAIS CONSTITUCIONALMENTE PERMITIDAS. RESERVA LEGAL QUALIFICADA. PROPORCIONALIDADE. A Constituição de 1988, ao assegurar a liberdade profissional (art. 5º, XIII), segue um modelo de reserva legal qualificada presente nas Constituições anteriores, as quais prescreviam à lei a definição das "condições de capacidade" como condicionantes para o exercício profissional. </w:t>
      </w:r>
      <w:r w:rsidRPr="008E5F57">
        <w:rPr>
          <w:rFonts w:ascii="Palatino Linotype" w:hAnsi="Palatino Linotype"/>
          <w:b/>
          <w:sz w:val="22"/>
          <w:szCs w:val="22"/>
        </w:rPr>
        <w:t>No âmbito do modelo de reserva legal qualificada presente na formulação do art. 5º, XIII, da Constituição de 1988, paira uma imanente questão constitucional quanto à razoabilidade e proporcionalidade das leis restritivas, especificamente, das leis que disciplinam as qualificações profissionais como condicionantes do livre exercício das profissões</w:t>
      </w:r>
      <w:r w:rsidRPr="008E5F57">
        <w:rPr>
          <w:rFonts w:ascii="Palatino Linotype" w:hAnsi="Palatino Linotype"/>
          <w:sz w:val="22"/>
          <w:szCs w:val="22"/>
        </w:rPr>
        <w:t xml:space="preserve">. Jurisprudência do Supremo Tribunal Federal: Representação n.° 930, Redator p/ o acórdão Ministro Rodrigues Alckmin, DJ, 2-9-1977. </w:t>
      </w:r>
      <w:r w:rsidRPr="008E5F57">
        <w:rPr>
          <w:rFonts w:ascii="Palatino Linotype" w:hAnsi="Palatino Linotype"/>
          <w:b/>
          <w:sz w:val="22"/>
          <w:szCs w:val="22"/>
          <w:u w:val="single"/>
        </w:rPr>
        <w:t>A reserva legal estabelecida pelo art. 5º, XIII, não confere ao legislador o poder de restringir o exercício da liberdade profissional a ponto de atingir o seu próprio núcleo essencial</w:t>
      </w:r>
      <w:r w:rsidRPr="008E5F57">
        <w:rPr>
          <w:rFonts w:ascii="Palatino Linotype" w:hAnsi="Palatino Linotype"/>
          <w:sz w:val="22"/>
          <w:szCs w:val="22"/>
        </w:rPr>
        <w:t>.”</w:t>
      </w:r>
    </w:p>
    <w:p w:rsidR="008E5F57" w:rsidRPr="008E5F57" w:rsidRDefault="008E5F57" w:rsidP="008E5F57">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 xml:space="preserve">(RE 511961, Relator(a): </w:t>
      </w:r>
      <w:r w:rsidRPr="008E5F57">
        <w:rPr>
          <w:rFonts w:ascii="Palatino Linotype" w:hAnsi="Palatino Linotype"/>
          <w:sz w:val="22"/>
          <w:szCs w:val="22"/>
        </w:rPr>
        <w:t>Min. GILMAR MENDES, Tribunal Pleno, julgado em 17/06/2009</w:t>
      </w:r>
      <w:r>
        <w:rPr>
          <w:rFonts w:ascii="Palatino Linotype" w:hAnsi="Palatino Linotype"/>
          <w:sz w:val="22"/>
          <w:szCs w:val="22"/>
        </w:rPr>
        <w:t>)</w:t>
      </w:r>
    </w:p>
    <w:p w:rsidR="00BE6F3C" w:rsidRDefault="00F36347"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O</w:t>
      </w:r>
      <w:r w:rsidR="0028366D">
        <w:rPr>
          <w:rFonts w:ascii="Palatino Linotype" w:hAnsi="Palatino Linotype"/>
          <w:sz w:val="26"/>
          <w:szCs w:val="26"/>
        </w:rPr>
        <w:t>s</w:t>
      </w:r>
      <w:r>
        <w:rPr>
          <w:rFonts w:ascii="Palatino Linotype" w:hAnsi="Palatino Linotype"/>
          <w:sz w:val="26"/>
          <w:szCs w:val="26"/>
        </w:rPr>
        <w:t xml:space="preserve"> precedente</w:t>
      </w:r>
      <w:r w:rsidR="0028366D">
        <w:rPr>
          <w:rFonts w:ascii="Palatino Linotype" w:hAnsi="Palatino Linotype"/>
          <w:sz w:val="26"/>
          <w:szCs w:val="26"/>
        </w:rPr>
        <w:t>s</w:t>
      </w:r>
      <w:r>
        <w:rPr>
          <w:rFonts w:ascii="Palatino Linotype" w:hAnsi="Palatino Linotype"/>
          <w:sz w:val="26"/>
          <w:szCs w:val="26"/>
        </w:rPr>
        <w:t xml:space="preserve"> ora citado</w:t>
      </w:r>
      <w:r w:rsidR="0028366D">
        <w:rPr>
          <w:rFonts w:ascii="Palatino Linotype" w:hAnsi="Palatino Linotype"/>
          <w:sz w:val="26"/>
          <w:szCs w:val="26"/>
        </w:rPr>
        <w:t>s</w:t>
      </w:r>
      <w:r>
        <w:rPr>
          <w:rFonts w:ascii="Palatino Linotype" w:hAnsi="Palatino Linotype"/>
          <w:sz w:val="26"/>
          <w:szCs w:val="26"/>
        </w:rPr>
        <w:t xml:space="preserve"> ressalta</w:t>
      </w:r>
      <w:r w:rsidR="0028366D">
        <w:rPr>
          <w:rFonts w:ascii="Palatino Linotype" w:hAnsi="Palatino Linotype"/>
          <w:sz w:val="26"/>
          <w:szCs w:val="26"/>
        </w:rPr>
        <w:t>m</w:t>
      </w:r>
      <w:r>
        <w:rPr>
          <w:rFonts w:ascii="Palatino Linotype" w:hAnsi="Palatino Linotype"/>
          <w:sz w:val="26"/>
          <w:szCs w:val="26"/>
        </w:rPr>
        <w:t xml:space="preserve"> característica essencial do sistema constitucional de proteção de liberdades, é dizer, a sua prevalência </w:t>
      </w:r>
      <w:r>
        <w:rPr>
          <w:rFonts w:ascii="Palatino Linotype" w:hAnsi="Palatino Linotype"/>
          <w:i/>
          <w:sz w:val="26"/>
          <w:szCs w:val="26"/>
        </w:rPr>
        <w:t>prima facie</w:t>
      </w:r>
      <w:r>
        <w:rPr>
          <w:rFonts w:ascii="Palatino Linotype" w:hAnsi="Palatino Linotype"/>
          <w:sz w:val="26"/>
          <w:szCs w:val="26"/>
        </w:rPr>
        <w:t xml:space="preserve">, reservando-se apenas para situações excepcionalíssimas e justificadas a restrição governamental. Cuida-se de consectário </w:t>
      </w:r>
      <w:r w:rsidRPr="00F36347">
        <w:rPr>
          <w:rFonts w:ascii="Palatino Linotype" w:hAnsi="Palatino Linotype"/>
          <w:sz w:val="26"/>
          <w:szCs w:val="26"/>
        </w:rPr>
        <w:t>da dignidade da pessoa humana, pois esta, como afirma o Tribunal Constitucional Federal alemão, compreende o ser humano como um ser intelectual e moral, capaz de se determinar e de se desenvolver em liberdade (“</w:t>
      </w:r>
      <w:r w:rsidRPr="00F36347">
        <w:rPr>
          <w:rFonts w:ascii="Palatino Linotype" w:hAnsi="Palatino Linotype"/>
          <w:i/>
          <w:sz w:val="26"/>
          <w:szCs w:val="26"/>
        </w:rPr>
        <w:t>Dem liegt die Vorstellung vom Menschen als einem geistig-sittlichen Wesen zugrunde, das darauf angelegt ist, in Freiheit sich selbst zu bestimmen und sich zu entfalten</w:t>
      </w:r>
      <w:r w:rsidRPr="00F36347">
        <w:rPr>
          <w:rFonts w:ascii="Palatino Linotype" w:hAnsi="Palatino Linotype"/>
          <w:sz w:val="26"/>
          <w:szCs w:val="26"/>
        </w:rPr>
        <w:t>”) (BVerfGE 45, 187).</w:t>
      </w:r>
    </w:p>
    <w:p w:rsidR="00F36347" w:rsidRDefault="00F36347" w:rsidP="00F36347">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Na qualidade de regra mestra do sistema normativo, como afirma o jurista alemão Robert Alexy, o “</w:t>
      </w:r>
      <w:r w:rsidRPr="00602923">
        <w:rPr>
          <w:rFonts w:ascii="Palatino Linotype" w:hAnsi="Palatino Linotype"/>
          <w:i/>
          <w:sz w:val="26"/>
          <w:szCs w:val="26"/>
        </w:rPr>
        <w:t>princípio da liberdade jurídica exige uma situação de disciplina jurídica na qual se ordena e se proíbe o mínimo possível</w:t>
      </w:r>
      <w:r>
        <w:rPr>
          <w:rFonts w:ascii="Palatino Linotype" w:hAnsi="Palatino Linotype"/>
          <w:sz w:val="26"/>
          <w:szCs w:val="26"/>
        </w:rPr>
        <w:t xml:space="preserve">” (ALEXY, Robert. </w:t>
      </w:r>
      <w:r w:rsidRPr="00DD357F">
        <w:rPr>
          <w:rFonts w:ascii="Palatino Linotype" w:hAnsi="Palatino Linotype"/>
          <w:i/>
          <w:sz w:val="26"/>
          <w:szCs w:val="26"/>
        </w:rPr>
        <w:t>Teoria dos Direitos Fundamentais</w:t>
      </w:r>
      <w:r>
        <w:rPr>
          <w:rFonts w:ascii="Palatino Linotype" w:hAnsi="Palatino Linotype"/>
          <w:sz w:val="26"/>
          <w:szCs w:val="26"/>
        </w:rPr>
        <w:t xml:space="preserve">. Trad. Virgílio Afonso da </w:t>
      </w:r>
      <w:r>
        <w:rPr>
          <w:rFonts w:ascii="Palatino Linotype" w:hAnsi="Palatino Linotype"/>
          <w:sz w:val="26"/>
          <w:szCs w:val="26"/>
        </w:rPr>
        <w:lastRenderedPageBreak/>
        <w:t>Silva. São Paulo: Malheiros, 2008. p. 177). E prossegue o jusfilósofo, sobre as consequências lógico-jurídicas do direito geral de liberdade (</w:t>
      </w:r>
      <w:r w:rsidRPr="009B6964">
        <w:rPr>
          <w:rFonts w:ascii="Palatino Linotype" w:hAnsi="Palatino Linotype"/>
          <w:i/>
          <w:sz w:val="26"/>
          <w:szCs w:val="26"/>
        </w:rPr>
        <w:t>das Allgemeine Freiheitsrecht</w:t>
      </w:r>
      <w:r>
        <w:rPr>
          <w:rFonts w:ascii="Palatino Linotype" w:hAnsi="Palatino Linotype"/>
          <w:sz w:val="26"/>
          <w:szCs w:val="26"/>
        </w:rPr>
        <w:t>):</w:t>
      </w:r>
    </w:p>
    <w:p w:rsidR="00F36347" w:rsidRDefault="00F36347" w:rsidP="00F36347">
      <w:pPr>
        <w:pStyle w:val="NormalWeb"/>
        <w:spacing w:after="0" w:line="264" w:lineRule="auto"/>
        <w:ind w:left="2268"/>
        <w:jc w:val="both"/>
        <w:rPr>
          <w:rFonts w:ascii="Palatino Linotype" w:hAnsi="Palatino Linotype"/>
          <w:sz w:val="22"/>
          <w:szCs w:val="22"/>
        </w:rPr>
      </w:pPr>
      <w:r w:rsidRPr="00411829">
        <w:rPr>
          <w:rFonts w:ascii="Palatino Linotype" w:hAnsi="Palatino Linotype"/>
          <w:sz w:val="22"/>
          <w:szCs w:val="22"/>
        </w:rPr>
        <w:t xml:space="preserve">“A liberdade geral de ação é uma liberdade de se fazer ou deixar de fazer o que se quer. (...) De um lado, a cada um é </w:t>
      </w:r>
      <w:r w:rsidRPr="00411829">
        <w:rPr>
          <w:rFonts w:ascii="Palatino Linotype" w:hAnsi="Palatino Linotype"/>
          <w:i/>
          <w:sz w:val="22"/>
          <w:szCs w:val="22"/>
        </w:rPr>
        <w:t>prima facie</w:t>
      </w:r>
      <w:r w:rsidRPr="00411829">
        <w:rPr>
          <w:rFonts w:ascii="Palatino Linotype" w:hAnsi="Palatino Linotype"/>
          <w:sz w:val="22"/>
          <w:szCs w:val="22"/>
        </w:rPr>
        <w:t xml:space="preserve"> – ou seja, caso nenhuma restrição ocorra – </w:t>
      </w:r>
      <w:r w:rsidRPr="00411829">
        <w:rPr>
          <w:rFonts w:ascii="Palatino Linotype" w:hAnsi="Palatino Linotype"/>
          <w:i/>
          <w:sz w:val="22"/>
          <w:szCs w:val="22"/>
        </w:rPr>
        <w:t>permitido</w:t>
      </w:r>
      <w:r w:rsidRPr="00411829">
        <w:rPr>
          <w:rFonts w:ascii="Palatino Linotype" w:hAnsi="Palatino Linotype"/>
          <w:sz w:val="22"/>
          <w:szCs w:val="22"/>
        </w:rPr>
        <w:t xml:space="preserve"> fazer ou deixar de fazer o que quiser (norma permissiva). De outro, cada um tem </w:t>
      </w:r>
      <w:r w:rsidRPr="00411829">
        <w:rPr>
          <w:rFonts w:ascii="Palatino Linotype" w:hAnsi="Palatino Linotype"/>
          <w:i/>
          <w:sz w:val="22"/>
          <w:szCs w:val="22"/>
        </w:rPr>
        <w:t>prima facie</w:t>
      </w:r>
      <w:r w:rsidRPr="00411829">
        <w:rPr>
          <w:rFonts w:ascii="Palatino Linotype" w:hAnsi="Palatino Linotype"/>
          <w:sz w:val="22"/>
          <w:szCs w:val="22"/>
        </w:rPr>
        <w:t xml:space="preserve"> – ou seja, caso nenhuma restrição ocorra – o </w:t>
      </w:r>
      <w:r w:rsidRPr="00411829">
        <w:rPr>
          <w:rFonts w:ascii="Palatino Linotype" w:hAnsi="Palatino Linotype"/>
          <w:i/>
          <w:sz w:val="22"/>
          <w:szCs w:val="22"/>
        </w:rPr>
        <w:t>direito</w:t>
      </w:r>
      <w:r w:rsidRPr="00411829">
        <w:rPr>
          <w:rFonts w:ascii="Palatino Linotype" w:hAnsi="Palatino Linotype"/>
          <w:sz w:val="22"/>
          <w:szCs w:val="22"/>
        </w:rPr>
        <w:t>, em face do Estado, a que este não embarace a sua ação ou sua abstenção, ou seja, a que o Estado nelas não intervenha (norma de direitos).</w:t>
      </w:r>
    </w:p>
    <w:p w:rsidR="00F36347" w:rsidRDefault="00F36347" w:rsidP="00F36347">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w:t>
      </w:r>
    </w:p>
    <w:p w:rsidR="00F36347" w:rsidRDefault="00F36347" w:rsidP="00F36347">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 xml:space="preserve">Em razão do fato de o direito geral de liberdade estar relacionado não apenas a ações, mas também a situações e a posições, a esse princípio devem ser adicionados dois outros: um que exige a maior medida possível de não afetação de situações e outro que exige a maior medida possível de não-eliminação de posições jurídicas do titular do direito fundamental. Esses três princípios podem ser agrupados em um princípio superior, o </w:t>
      </w:r>
      <w:r>
        <w:rPr>
          <w:rFonts w:ascii="Palatino Linotype" w:hAnsi="Palatino Linotype"/>
          <w:i/>
          <w:sz w:val="22"/>
          <w:szCs w:val="22"/>
        </w:rPr>
        <w:t>princípio da liberdade negativa</w:t>
      </w:r>
      <w:r>
        <w:rPr>
          <w:rFonts w:ascii="Palatino Linotype" w:hAnsi="Palatino Linotype"/>
          <w:sz w:val="22"/>
          <w:szCs w:val="22"/>
        </w:rPr>
        <w:t>. No que se segue, será tratado apenas o mais simples dos subprincípios, o princípio da liberdade jurídica, que exige que as alternativas de ação sejam afetadas o mínimo possível por deveres e proibições.</w:t>
      </w:r>
      <w:r w:rsidRPr="00411829">
        <w:rPr>
          <w:rFonts w:ascii="Palatino Linotype" w:hAnsi="Palatino Linotype"/>
          <w:sz w:val="22"/>
          <w:szCs w:val="22"/>
        </w:rPr>
        <w:t>”</w:t>
      </w:r>
    </w:p>
    <w:p w:rsidR="00F36347" w:rsidRPr="00411829" w:rsidRDefault="00F36347" w:rsidP="00F36347">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w:t>
      </w:r>
      <w:r w:rsidRPr="00DD357F">
        <w:rPr>
          <w:rFonts w:ascii="Palatino Linotype" w:hAnsi="Palatino Linotype"/>
          <w:i/>
          <w:sz w:val="22"/>
          <w:szCs w:val="22"/>
        </w:rPr>
        <w:t>Op. cit</w:t>
      </w:r>
      <w:r>
        <w:rPr>
          <w:rFonts w:ascii="Palatino Linotype" w:hAnsi="Palatino Linotype"/>
          <w:sz w:val="22"/>
          <w:szCs w:val="22"/>
        </w:rPr>
        <w:t>. p. 343 e 352)</w:t>
      </w:r>
    </w:p>
    <w:p w:rsidR="00F36347" w:rsidRDefault="00F36347" w:rsidP="00F36347">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Sendo a liberdade um </w:t>
      </w:r>
      <w:r>
        <w:rPr>
          <w:rFonts w:ascii="Palatino Linotype" w:hAnsi="Palatino Linotype"/>
          <w:i/>
          <w:sz w:val="26"/>
          <w:szCs w:val="26"/>
        </w:rPr>
        <w:t>topoi</w:t>
      </w:r>
      <w:r>
        <w:rPr>
          <w:rFonts w:ascii="Palatino Linotype" w:hAnsi="Palatino Linotype"/>
          <w:sz w:val="26"/>
          <w:szCs w:val="26"/>
        </w:rPr>
        <w:t>, extraído da dignidade humana e da própria configuração do sistema jurídico, é imperioso inferir, sob pena de torná-la estéril, que eventuais restrições devem: (i) ser informadas por um parâmetro constitucionalmente legítimo; e (ii) adequar-se ao teste da proporcionalidade. Adotando semelhante raciocínio, o Tribunal Constitucional Federal alemão assentou que “</w:t>
      </w:r>
      <w:r>
        <w:rPr>
          <w:rFonts w:ascii="Palatino Linotype" w:hAnsi="Palatino Linotype"/>
          <w:i/>
          <w:sz w:val="26"/>
          <w:szCs w:val="26"/>
        </w:rPr>
        <w:t>o indivíduo deve admitir restrições à sua liberdade de ação, estabelecidos pelo legislador para proteção e fomento do convívio social nos limites do razoável de acordo com a situação fática; mas deve a autonomia da pessoa restar mantida</w:t>
      </w:r>
      <w:r>
        <w:rPr>
          <w:rFonts w:ascii="Palatino Linotype" w:hAnsi="Palatino Linotype"/>
          <w:sz w:val="26"/>
          <w:szCs w:val="26"/>
        </w:rPr>
        <w:t>” (“</w:t>
      </w:r>
      <w:r w:rsidRPr="00152B77">
        <w:rPr>
          <w:rFonts w:ascii="Palatino Linotype" w:hAnsi="Palatino Linotype"/>
          <w:i/>
          <w:sz w:val="26"/>
          <w:szCs w:val="26"/>
        </w:rPr>
        <w:t xml:space="preserve">Der Einzelne muß sich diejenigen Schranken seiner Handlungsfreiheit gefallen lassen, die der Gesetzgeber zur Pflege und Förderung des sozialen Zusammenlebens in den Grenzen des bei </w:t>
      </w:r>
      <w:r w:rsidRPr="00152B77">
        <w:rPr>
          <w:rFonts w:ascii="Palatino Linotype" w:hAnsi="Palatino Linotype"/>
          <w:i/>
          <w:sz w:val="26"/>
          <w:szCs w:val="26"/>
        </w:rPr>
        <w:lastRenderedPageBreak/>
        <w:t>dem gegebenen Sachverhalt allgemein Zumutbaren zieht; doch muß die Eigenständigkeit der Person gewahrt bleiben</w:t>
      </w:r>
      <w:r>
        <w:rPr>
          <w:rFonts w:ascii="Palatino Linotype" w:hAnsi="Palatino Linotype"/>
          <w:sz w:val="26"/>
          <w:szCs w:val="26"/>
        </w:rPr>
        <w:t>”)</w:t>
      </w:r>
      <w:r w:rsidRPr="00152B77">
        <w:rPr>
          <w:rFonts w:ascii="Palatino Linotype" w:hAnsi="Palatino Linotype"/>
          <w:sz w:val="26"/>
          <w:szCs w:val="26"/>
        </w:rPr>
        <w:t xml:space="preserve"> (BVerfGE 30, 1 [20]</w:t>
      </w:r>
      <w:r>
        <w:rPr>
          <w:rFonts w:ascii="Palatino Linotype" w:hAnsi="Palatino Linotype"/>
          <w:sz w:val="26"/>
          <w:szCs w:val="26"/>
        </w:rPr>
        <w:t>). Examinando a orientação pretoriana transcrita, Alexy vaticina: “</w:t>
      </w:r>
      <w:r w:rsidRPr="006737EC">
        <w:rPr>
          <w:rFonts w:ascii="Palatino Linotype" w:hAnsi="Palatino Linotype"/>
          <w:i/>
          <w:sz w:val="26"/>
          <w:szCs w:val="26"/>
        </w:rPr>
        <w:t>Essa fórmula, na qual claramente se vislumbra a máxima da proporcionalidade, não apenas diz que a liberdade é restringível, mas também que ela é restringível somente diante da presença de razões suficientes</w:t>
      </w:r>
      <w:r>
        <w:rPr>
          <w:rFonts w:ascii="Palatino Linotype" w:hAnsi="Palatino Linotype"/>
          <w:sz w:val="26"/>
          <w:szCs w:val="26"/>
        </w:rPr>
        <w:t>” (</w:t>
      </w:r>
      <w:r w:rsidRPr="00DD357F">
        <w:rPr>
          <w:rFonts w:ascii="Palatino Linotype" w:hAnsi="Palatino Linotype"/>
          <w:i/>
          <w:sz w:val="26"/>
          <w:szCs w:val="26"/>
        </w:rPr>
        <w:t>Op. cit</w:t>
      </w:r>
      <w:r>
        <w:rPr>
          <w:rFonts w:ascii="Palatino Linotype" w:hAnsi="Palatino Linotype"/>
          <w:sz w:val="26"/>
          <w:szCs w:val="26"/>
        </w:rPr>
        <w:t>. p. 357-358).</w:t>
      </w:r>
    </w:p>
    <w:p w:rsidR="00F36347" w:rsidRDefault="00F36347" w:rsidP="00F36347">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Outra não é a conclusão de Volker Epping (professor da Universidade de Hannover) e Christian Hillgruber (professor da Universidade de Bonn), os quais, analisando o artigo 2 da Constituição alemã (</w:t>
      </w:r>
      <w:r w:rsidRPr="009B6316">
        <w:rPr>
          <w:rFonts w:ascii="Palatino Linotype" w:hAnsi="Palatino Linotype"/>
          <w:i/>
          <w:sz w:val="26"/>
          <w:szCs w:val="26"/>
        </w:rPr>
        <w:t>das</w:t>
      </w:r>
      <w:r>
        <w:rPr>
          <w:rFonts w:ascii="Palatino Linotype" w:hAnsi="Palatino Linotype"/>
          <w:sz w:val="26"/>
          <w:szCs w:val="26"/>
        </w:rPr>
        <w:t xml:space="preserve"> </w:t>
      </w:r>
      <w:r w:rsidRPr="009B6316">
        <w:rPr>
          <w:rFonts w:ascii="Palatino Linotype" w:hAnsi="Palatino Linotype"/>
          <w:i/>
          <w:sz w:val="26"/>
          <w:szCs w:val="26"/>
        </w:rPr>
        <w:t>Grundgesetz</w:t>
      </w:r>
      <w:r>
        <w:rPr>
          <w:rFonts w:ascii="Palatino Linotype" w:hAnsi="Palatino Linotype"/>
          <w:sz w:val="26"/>
          <w:szCs w:val="26"/>
        </w:rPr>
        <w:t>), defendem que a garantia de liberdade de ação humana “</w:t>
      </w:r>
      <w:r>
        <w:rPr>
          <w:rFonts w:ascii="Palatino Linotype" w:hAnsi="Palatino Linotype"/>
          <w:i/>
          <w:sz w:val="26"/>
          <w:szCs w:val="26"/>
        </w:rPr>
        <w:t>expressa-se antes de tudo em uma estrita aplicação do princípio da proporcionalidade, com aumentado ônus de justificação por parte do Estado para intervenções</w:t>
      </w:r>
      <w:r>
        <w:rPr>
          <w:rFonts w:ascii="Palatino Linotype" w:hAnsi="Palatino Linotype"/>
          <w:sz w:val="26"/>
          <w:szCs w:val="26"/>
        </w:rPr>
        <w:t>” (“</w:t>
      </w:r>
      <w:r w:rsidRPr="00D71A9F">
        <w:rPr>
          <w:rFonts w:ascii="Palatino Linotype" w:hAnsi="Palatino Linotype"/>
          <w:i/>
          <w:sz w:val="26"/>
          <w:szCs w:val="26"/>
        </w:rPr>
        <w:t>menschlicher Handlungsfreiheit sich zuvörderst in einer strikteren Anwendung des Verhältnismäßigkeitsgrundsatzes mit erhöhter Rechtfertigungslast seitens des Staates bei Eingriffen ausdrückt</w:t>
      </w:r>
      <w:r>
        <w:rPr>
          <w:rFonts w:ascii="Palatino Linotype" w:hAnsi="Palatino Linotype"/>
          <w:sz w:val="26"/>
          <w:szCs w:val="26"/>
        </w:rPr>
        <w:t xml:space="preserve">”) (EPPING, Volker; HILLGRUBER, Christian. </w:t>
      </w:r>
      <w:r w:rsidRPr="00D71A9F">
        <w:rPr>
          <w:rFonts w:ascii="Palatino Linotype" w:hAnsi="Palatino Linotype"/>
          <w:i/>
          <w:sz w:val="26"/>
          <w:szCs w:val="26"/>
        </w:rPr>
        <w:t>Grundgesetz – Kommentar</w:t>
      </w:r>
      <w:r>
        <w:rPr>
          <w:rFonts w:ascii="Palatino Linotype" w:hAnsi="Palatino Linotype"/>
          <w:sz w:val="26"/>
          <w:szCs w:val="26"/>
        </w:rPr>
        <w:t>. 2ª ed. München: C. H. Beck, 2013. p. 29).</w:t>
      </w:r>
    </w:p>
    <w:p w:rsidR="00F36347" w:rsidRDefault="00F36347" w:rsidP="00F36347">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Esse ônus de justificação elevado, por óbvio, não é atendido com o recurso a argumentos de cariz meramente retórico. É dizer: a restrição à liberdade deve encontrar suporte em elementos empíricos que indiquem a sua necessidade e adequação para o atingimento do objetivo constitucionalmente legítimo. Consubstancia ônus do proponente da medida embasá-la com informações – pesquisas de campo, estatísticas, levantamentos históricos </w:t>
      </w:r>
      <w:r>
        <w:rPr>
          <w:rFonts w:ascii="Palatino Linotype" w:hAnsi="Palatino Linotype"/>
          <w:i/>
          <w:sz w:val="26"/>
          <w:szCs w:val="26"/>
        </w:rPr>
        <w:t xml:space="preserve">etc. </w:t>
      </w:r>
      <w:r>
        <w:rPr>
          <w:rFonts w:ascii="Palatino Linotype" w:hAnsi="Palatino Linotype"/>
          <w:sz w:val="26"/>
          <w:szCs w:val="26"/>
        </w:rPr>
        <w:t>– que a justifiquem e demonstrem a sua eficácia.</w:t>
      </w:r>
    </w:p>
    <w:p w:rsidR="00F36347" w:rsidRDefault="00F36347" w:rsidP="00F36347">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Visto que constatações empíricas dependem de análises, mais ou menos controversas, sobre dados cuja abrangência e confiabilidade podem variar, põe-se a questão: qual o grau exigido de segurança dos argumentos de justificação para legitimar uma dada intervenção na liberdade? Com efeito, cuida-se de uma exigência de caráter dinâmico, não estático, pois seu rigor será variável, de acordo com a gravidade da restrição proposta à liberdade. É o que Alexy denomina “lei epistêmica do sopesamento”: “</w:t>
      </w:r>
      <w:r w:rsidRPr="00135AA4">
        <w:rPr>
          <w:rFonts w:ascii="Palatino Linotype" w:hAnsi="Palatino Linotype"/>
          <w:i/>
          <w:sz w:val="26"/>
          <w:szCs w:val="26"/>
        </w:rPr>
        <w:t xml:space="preserve">Quanto mais pesada for a intervenção em um direito fundamental, tanto maior </w:t>
      </w:r>
      <w:r w:rsidRPr="00135AA4">
        <w:rPr>
          <w:rFonts w:ascii="Palatino Linotype" w:hAnsi="Palatino Linotype"/>
          <w:i/>
          <w:sz w:val="26"/>
          <w:szCs w:val="26"/>
        </w:rPr>
        <w:lastRenderedPageBreak/>
        <w:t>terá que ser a certeza das premissas nas quais essa intervenção se baseia</w:t>
      </w:r>
      <w:r>
        <w:rPr>
          <w:rFonts w:ascii="Palatino Linotype" w:hAnsi="Palatino Linotype"/>
          <w:sz w:val="26"/>
          <w:szCs w:val="26"/>
        </w:rPr>
        <w:t xml:space="preserve">” (ALEXY, Robert. </w:t>
      </w:r>
      <w:r w:rsidRPr="00DD357F">
        <w:rPr>
          <w:rFonts w:ascii="Palatino Linotype" w:hAnsi="Palatino Linotype"/>
          <w:i/>
          <w:sz w:val="26"/>
          <w:szCs w:val="26"/>
        </w:rPr>
        <w:t>Teoria dos Direitos Fundamentais</w:t>
      </w:r>
      <w:r>
        <w:rPr>
          <w:rFonts w:ascii="Palatino Linotype" w:hAnsi="Palatino Linotype"/>
          <w:sz w:val="26"/>
          <w:szCs w:val="26"/>
        </w:rPr>
        <w:t>. Trad. Virgílio Afonso da Silva. São Paulo: Malheiros, 2008. p. 617).</w:t>
      </w:r>
    </w:p>
    <w:p w:rsidR="00F36347" w:rsidRDefault="00D42AEE"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À luz dessas premissas, cumpre averiguar se a norma impugnada na presente ADPF, que proíbe o “</w:t>
      </w:r>
      <w:r w:rsidRPr="00D42AEE">
        <w:rPr>
          <w:rFonts w:ascii="Palatino Linotype" w:hAnsi="Palatino Linotype"/>
          <w:i/>
          <w:sz w:val="26"/>
          <w:szCs w:val="26"/>
        </w:rPr>
        <w:t>uso de carros particulares cadastrados ou não em aplicativos, para o transporte remunerado individual de pessoas</w:t>
      </w:r>
      <w:r>
        <w:rPr>
          <w:rFonts w:ascii="Palatino Linotype" w:hAnsi="Palatino Linotype"/>
          <w:sz w:val="26"/>
          <w:szCs w:val="26"/>
        </w:rPr>
        <w:t>”, configura limitação proporcional às liberdades de iniciativa (art. 1º, IV, e 170 da CRFB) e de profissão (art. 5º, XIII, da CRFB).</w:t>
      </w:r>
      <w:r w:rsidR="000B38EE">
        <w:rPr>
          <w:rFonts w:ascii="Palatino Linotype" w:hAnsi="Palatino Linotype"/>
          <w:sz w:val="26"/>
          <w:szCs w:val="26"/>
        </w:rPr>
        <w:t xml:space="preserve"> Note-se que o escrutínio ora realizado não abrange todos os tipos de regulações possíveis do mercado de transporte de passageiros, como padrões mínimos de segurança, deveres de informação, requisitos objetivos de qualificação para motoristas </w:t>
      </w:r>
      <w:r w:rsidR="000B38EE">
        <w:rPr>
          <w:rFonts w:ascii="Palatino Linotype" w:hAnsi="Palatino Linotype"/>
          <w:i/>
          <w:sz w:val="26"/>
          <w:szCs w:val="26"/>
        </w:rPr>
        <w:t>etc</w:t>
      </w:r>
      <w:r w:rsidR="000B38EE">
        <w:rPr>
          <w:rFonts w:ascii="Palatino Linotype" w:hAnsi="Palatino Linotype"/>
          <w:sz w:val="26"/>
          <w:szCs w:val="26"/>
        </w:rPr>
        <w:t>. O âmbito estrito de análise na presente arguição diz respeito à possibilidade de restrição oligopolística desse mercado, é dizer, da limitação do número de prestadores de serviço a um grupo autorizado pelo governo, vedando-se o exercício da profissão a todos os demais particulares.</w:t>
      </w:r>
    </w:p>
    <w:p w:rsidR="000B13C5" w:rsidRDefault="000B38EE"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Na realidade, como é de sabença comum, o licenciamento de táxis no Brasil funciona como a delegação de um privilégio a certos particulares, os quais detêm a exclusividade de exploração do serviço de transporte de passageiros. Os detentores de licenças, por sua vez, podem “ceder” a sua licença para exploração de terceiros (os verdadeiros motoristas), mediante remuneração (denominadas “diárias”).</w:t>
      </w:r>
      <w:r w:rsidR="005C7DF7">
        <w:rPr>
          <w:rFonts w:ascii="Palatino Linotype" w:hAnsi="Palatino Linotype"/>
          <w:sz w:val="26"/>
          <w:szCs w:val="26"/>
        </w:rPr>
        <w:t xml:space="preserve"> A restrição artificial do mercado, assim, cria uma renda extraordinária para os detentores de licenças, cujo valor deriva precisamente da possibilidade de </w:t>
      </w:r>
      <w:r w:rsidR="007403E8">
        <w:rPr>
          <w:rFonts w:ascii="Palatino Linotype" w:hAnsi="Palatino Linotype"/>
          <w:sz w:val="26"/>
          <w:szCs w:val="26"/>
        </w:rPr>
        <w:t>transacionar</w:t>
      </w:r>
      <w:r w:rsidR="005C7DF7">
        <w:rPr>
          <w:rFonts w:ascii="Palatino Linotype" w:hAnsi="Palatino Linotype"/>
          <w:sz w:val="26"/>
          <w:szCs w:val="26"/>
        </w:rPr>
        <w:t xml:space="preserve"> esse “título”. </w:t>
      </w:r>
      <w:r w:rsidR="00B80B56">
        <w:rPr>
          <w:rFonts w:ascii="Palatino Linotype" w:hAnsi="Palatino Linotype"/>
          <w:sz w:val="26"/>
          <w:szCs w:val="26"/>
        </w:rPr>
        <w:t xml:space="preserve">Trata-se de ativo, assim, que não corresponde a qualquer benefício gerado à sociedade, mas tão somente ao cenário </w:t>
      </w:r>
      <w:r w:rsidR="00173335">
        <w:rPr>
          <w:rFonts w:ascii="Palatino Linotype" w:hAnsi="Palatino Linotype"/>
          <w:sz w:val="26"/>
          <w:szCs w:val="26"/>
        </w:rPr>
        <w:t xml:space="preserve">antinatural </w:t>
      </w:r>
      <w:r w:rsidR="00B80B56">
        <w:rPr>
          <w:rFonts w:ascii="Palatino Linotype" w:hAnsi="Palatino Linotype"/>
          <w:sz w:val="26"/>
          <w:szCs w:val="26"/>
        </w:rPr>
        <w:t>de escassez decorrente da limitação governamental.</w:t>
      </w:r>
    </w:p>
    <w:p w:rsidR="000B38EE" w:rsidRDefault="000B13C5"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Esse mecanismo tem como única consequência a transferência involuntária de recursos de consumidores e trabalhadores para um grupo específico, formado por aqueles agraciados com o número restrito de licenças. Por esse motivo</w:t>
      </w:r>
      <w:r w:rsidR="00D85701">
        <w:rPr>
          <w:rFonts w:ascii="Palatino Linotype" w:hAnsi="Palatino Linotype"/>
          <w:sz w:val="26"/>
          <w:szCs w:val="26"/>
        </w:rPr>
        <w:t>,</w:t>
      </w:r>
      <w:r>
        <w:rPr>
          <w:rFonts w:ascii="Palatino Linotype" w:hAnsi="Palatino Linotype"/>
          <w:sz w:val="26"/>
          <w:szCs w:val="26"/>
        </w:rPr>
        <w:t xml:space="preserve"> </w:t>
      </w:r>
      <w:r w:rsidR="00D85701">
        <w:rPr>
          <w:rFonts w:ascii="Palatino Linotype" w:hAnsi="Palatino Linotype"/>
          <w:sz w:val="26"/>
          <w:szCs w:val="26"/>
        </w:rPr>
        <w:t xml:space="preserve">há enorme </w:t>
      </w:r>
      <w:r>
        <w:rPr>
          <w:rFonts w:ascii="Palatino Linotype" w:hAnsi="Palatino Linotype"/>
          <w:sz w:val="26"/>
          <w:szCs w:val="26"/>
        </w:rPr>
        <w:t xml:space="preserve">resistência de grupos organizados à abertura do mercado para novos entrantes – é dizer, novos trabalhadores, migrando de setores em crise em direção a oportunidades de </w:t>
      </w:r>
      <w:r w:rsidR="004A0D63">
        <w:rPr>
          <w:rFonts w:ascii="Palatino Linotype" w:hAnsi="Palatino Linotype"/>
          <w:sz w:val="26"/>
          <w:szCs w:val="26"/>
        </w:rPr>
        <w:t xml:space="preserve">gerar valor </w:t>
      </w:r>
      <w:r w:rsidR="004A0D63">
        <w:rPr>
          <w:rFonts w:ascii="Palatino Linotype" w:hAnsi="Palatino Linotype"/>
          <w:sz w:val="26"/>
          <w:szCs w:val="26"/>
        </w:rPr>
        <w:lastRenderedPageBreak/>
        <w:t>para a sociedade. Considerando que o desemprego no Brasil atingiu recentemente o patam</w:t>
      </w:r>
      <w:r w:rsidR="008B1ADE">
        <w:rPr>
          <w:rFonts w:ascii="Palatino Linotype" w:hAnsi="Palatino Linotype"/>
          <w:sz w:val="26"/>
          <w:szCs w:val="26"/>
        </w:rPr>
        <w:t>ar recorde de 13,7%, afetando 14,2</w:t>
      </w:r>
      <w:r w:rsidR="004A0D63">
        <w:rPr>
          <w:rFonts w:ascii="Palatino Linotype" w:hAnsi="Palatino Linotype"/>
          <w:sz w:val="26"/>
          <w:szCs w:val="26"/>
        </w:rPr>
        <w:t xml:space="preserve"> milhões de pessoas (cf. dados do IBGE noticiados em: &lt;</w:t>
      </w:r>
      <w:r w:rsidR="000D7578" w:rsidRPr="000D7578">
        <w:rPr>
          <w:rFonts w:ascii="Palatino Linotype" w:hAnsi="Palatino Linotype"/>
          <w:sz w:val="26"/>
          <w:szCs w:val="26"/>
        </w:rPr>
        <w:t>http://g1.globo.com/economia/noticia/desemprego-fica-em-137-no-1-trimestre-de-2017.ghtml</w:t>
      </w:r>
      <w:r w:rsidR="004A0D63">
        <w:rPr>
          <w:rFonts w:ascii="Palatino Linotype" w:hAnsi="Palatino Linotype"/>
          <w:sz w:val="26"/>
          <w:szCs w:val="26"/>
        </w:rPr>
        <w:t xml:space="preserve">&gt;), é de se louvar </w:t>
      </w:r>
      <w:r w:rsidR="004271AD">
        <w:rPr>
          <w:rFonts w:ascii="Palatino Linotype" w:hAnsi="Palatino Linotype"/>
          <w:sz w:val="26"/>
          <w:szCs w:val="26"/>
        </w:rPr>
        <w:t>a</w:t>
      </w:r>
      <w:r w:rsidR="004A0D63">
        <w:rPr>
          <w:rFonts w:ascii="Palatino Linotype" w:hAnsi="Palatino Linotype"/>
          <w:sz w:val="26"/>
          <w:szCs w:val="26"/>
        </w:rPr>
        <w:t xml:space="preserve"> abertura de mercado que represente absorção de mão-de-obra</w:t>
      </w:r>
      <w:r w:rsidR="004271AD">
        <w:rPr>
          <w:rFonts w:ascii="Palatino Linotype" w:hAnsi="Palatino Linotype"/>
          <w:sz w:val="26"/>
          <w:szCs w:val="26"/>
        </w:rPr>
        <w:t xml:space="preserve"> e considerar qualquer medida em contrário afrontosa ao princípio da busca pelo pleno emprego, insculpido no art. 170, VIII, da Constituição</w:t>
      </w:r>
      <w:r w:rsidR="004A0D63">
        <w:rPr>
          <w:rFonts w:ascii="Palatino Linotype" w:hAnsi="Palatino Linotype"/>
          <w:sz w:val="26"/>
          <w:szCs w:val="26"/>
        </w:rPr>
        <w:t xml:space="preserve">. Os verdadeiros “prejudicados”, então, são os que têm a perder com a queda de valor das </w:t>
      </w:r>
      <w:r w:rsidR="00250C64">
        <w:rPr>
          <w:rFonts w:ascii="Palatino Linotype" w:hAnsi="Palatino Linotype"/>
          <w:sz w:val="26"/>
          <w:szCs w:val="26"/>
        </w:rPr>
        <w:t>“permissões”</w:t>
      </w:r>
      <w:r w:rsidR="004A0D63">
        <w:rPr>
          <w:rFonts w:ascii="Palatino Linotype" w:hAnsi="Palatino Linotype"/>
          <w:sz w:val="26"/>
          <w:szCs w:val="26"/>
        </w:rPr>
        <w:t xml:space="preserve"> de táxi,</w:t>
      </w:r>
      <w:r w:rsidR="007403E8">
        <w:rPr>
          <w:rFonts w:ascii="Palatino Linotype" w:hAnsi="Palatino Linotype"/>
          <w:sz w:val="26"/>
          <w:szCs w:val="26"/>
        </w:rPr>
        <w:t xml:space="preserve"> os mesmos que sempre se opuseram à ampliação do número dessas licenças,</w:t>
      </w:r>
      <w:r w:rsidR="004A0D63">
        <w:rPr>
          <w:rFonts w:ascii="Palatino Linotype" w:hAnsi="Palatino Linotype"/>
          <w:sz w:val="26"/>
          <w:szCs w:val="26"/>
        </w:rPr>
        <w:t xml:space="preserve"> conforme esclarece importante estudo do Insper:</w:t>
      </w:r>
    </w:p>
    <w:p w:rsidR="007403E8" w:rsidRPr="007403E8" w:rsidRDefault="004A0D63" w:rsidP="007403E8">
      <w:pPr>
        <w:pStyle w:val="NormalWeb"/>
        <w:spacing w:after="0" w:line="264" w:lineRule="auto"/>
        <w:ind w:left="2268"/>
        <w:jc w:val="both"/>
        <w:rPr>
          <w:rFonts w:ascii="Palatino Linotype" w:hAnsi="Palatino Linotype"/>
          <w:sz w:val="22"/>
          <w:szCs w:val="22"/>
        </w:rPr>
      </w:pPr>
      <w:r w:rsidRPr="007403E8">
        <w:rPr>
          <w:rFonts w:ascii="Palatino Linotype" w:hAnsi="Palatino Linotype"/>
          <w:sz w:val="22"/>
          <w:szCs w:val="22"/>
        </w:rPr>
        <w:t>“</w:t>
      </w:r>
      <w:r w:rsidRPr="007403E8">
        <w:rPr>
          <w:rFonts w:ascii="Palatino Linotype" w:hAnsi="Palatino Linotype"/>
          <w:b/>
          <w:sz w:val="22"/>
          <w:szCs w:val="22"/>
          <w:u w:val="single"/>
        </w:rPr>
        <w:t>Quem foi mais afetado por esse novo modelo de negócio foram os detentores de licenças, motoristas ou não, cujo valor decorria justamente do direito de impedir a entrada de novos motoristas e, assim, assegurar rendas supracompetitivas</w:t>
      </w:r>
      <w:r w:rsidRPr="007403E8">
        <w:rPr>
          <w:rFonts w:ascii="Palatino Linotype" w:hAnsi="Palatino Linotype"/>
          <w:sz w:val="22"/>
          <w:szCs w:val="22"/>
        </w:rPr>
        <w:t>. Por exemplo, anteriormente à entrada da Uber, o mercado possuía um número definido de licenças de táxi, que não variava conforme as flutuações de oferta e de demanda, mas por meio da decisão de cada prefeitura. Estas, por sua vez, poderiam se sujeitar ao interesse daqueles que já tinham licenças e que não gostariam de ver aumentar a concorrência.</w:t>
      </w:r>
    </w:p>
    <w:p w:rsidR="007403E8" w:rsidRPr="007403E8" w:rsidRDefault="007403E8" w:rsidP="007403E8">
      <w:pPr>
        <w:pStyle w:val="NormalWeb"/>
        <w:spacing w:after="0" w:line="264" w:lineRule="auto"/>
        <w:ind w:left="2268"/>
        <w:jc w:val="both"/>
        <w:rPr>
          <w:rFonts w:ascii="Palatino Linotype" w:hAnsi="Palatino Linotype"/>
          <w:sz w:val="22"/>
          <w:szCs w:val="22"/>
        </w:rPr>
      </w:pPr>
      <w:r w:rsidRPr="007403E8">
        <w:rPr>
          <w:rFonts w:ascii="Palatino Linotype" w:hAnsi="Palatino Linotype"/>
          <w:sz w:val="22"/>
          <w:szCs w:val="22"/>
        </w:rPr>
        <w:t>(...)</w:t>
      </w:r>
    </w:p>
    <w:p w:rsidR="000B13C5" w:rsidRDefault="007403E8" w:rsidP="007403E8">
      <w:pPr>
        <w:pStyle w:val="NormalWeb"/>
        <w:spacing w:after="0" w:line="264" w:lineRule="auto"/>
        <w:ind w:left="2268"/>
        <w:jc w:val="both"/>
        <w:rPr>
          <w:rFonts w:ascii="Palatino Linotype" w:hAnsi="Palatino Linotype"/>
          <w:sz w:val="22"/>
          <w:szCs w:val="22"/>
        </w:rPr>
      </w:pPr>
      <w:r w:rsidRPr="007403E8">
        <w:rPr>
          <w:rFonts w:ascii="Palatino Linotype" w:hAnsi="Palatino Linotype"/>
          <w:sz w:val="22"/>
          <w:szCs w:val="22"/>
        </w:rPr>
        <w:t xml:space="preserve">Em tese, estas licenças não poderiam ser transacionadas no mercado (ainda que por vezes o fossem (...)), mas poderiam ser alugadas e assim conferiam a seu detentor rendas pela concessão do direito de uso. (...) Por exemplo, </w:t>
      </w:r>
      <w:r w:rsidRPr="007403E8">
        <w:rPr>
          <w:rFonts w:ascii="Palatino Linotype" w:hAnsi="Palatino Linotype"/>
          <w:b/>
          <w:sz w:val="22"/>
          <w:szCs w:val="22"/>
          <w:u w:val="single"/>
        </w:rPr>
        <w:t>no Rio de Janeiro</w:t>
      </w:r>
      <w:r w:rsidRPr="007403E8">
        <w:rPr>
          <w:rFonts w:ascii="Palatino Linotype" w:hAnsi="Palatino Linotype"/>
          <w:sz w:val="22"/>
          <w:szCs w:val="22"/>
        </w:rPr>
        <w:t xml:space="preserve">, primeira cidade onde a Uber começou a operar, </w:t>
      </w:r>
      <w:r w:rsidRPr="0071012B">
        <w:rPr>
          <w:rFonts w:ascii="Palatino Linotype" w:hAnsi="Palatino Linotype"/>
          <w:b/>
          <w:sz w:val="22"/>
          <w:szCs w:val="22"/>
          <w:u w:val="single"/>
        </w:rPr>
        <w:t>o valor estimado para uma licença é de aproximadamente R$ 900 mil</w:t>
      </w:r>
      <w:r w:rsidRPr="007403E8">
        <w:rPr>
          <w:rFonts w:ascii="Palatino Linotype" w:hAnsi="Palatino Linotype"/>
          <w:sz w:val="22"/>
          <w:szCs w:val="22"/>
        </w:rPr>
        <w:t>. Esse montante é obtido tomando-se o valor médio das diárias, referentes ao aluguel da licença e do automóvel, o custo médio de um veículo, no valor de R$ 50.000,00, renovado a cada cinco anos, abatendo-se as isenções tributárias na aquisição de veículos por taxistas; um custo anual de manutenção e seguro da ordem de R$ 4 mil por ano, o que gera um fluxo de caixa, o qual é descontado ao valor presente líquido por meio da taxa selic real de 4,22% a.a. (taxa livre de risco descontada a i</w:t>
      </w:r>
      <w:r w:rsidR="0071012B">
        <w:rPr>
          <w:rFonts w:ascii="Palatino Linotype" w:hAnsi="Palatino Linotype"/>
          <w:sz w:val="22"/>
          <w:szCs w:val="22"/>
        </w:rPr>
        <w:t>nflação dos últimos doze meses)</w:t>
      </w:r>
      <w:r w:rsidRPr="007403E8">
        <w:rPr>
          <w:rFonts w:ascii="Palatino Linotype" w:hAnsi="Palatino Linotype"/>
          <w:sz w:val="22"/>
          <w:szCs w:val="22"/>
        </w:rPr>
        <w:t xml:space="preserve">. </w:t>
      </w:r>
      <w:r w:rsidRPr="0071012B">
        <w:rPr>
          <w:rFonts w:ascii="Palatino Linotype" w:hAnsi="Palatino Linotype"/>
          <w:b/>
          <w:sz w:val="22"/>
          <w:szCs w:val="22"/>
          <w:u w:val="single"/>
        </w:rPr>
        <w:t>Já no caso de São Paulo este montante,</w:t>
      </w:r>
      <w:r w:rsidR="0071012B" w:rsidRPr="0071012B">
        <w:rPr>
          <w:rFonts w:ascii="Palatino Linotype" w:hAnsi="Palatino Linotype"/>
          <w:b/>
          <w:sz w:val="22"/>
          <w:szCs w:val="22"/>
          <w:u w:val="single"/>
        </w:rPr>
        <w:t xml:space="preserve"> </w:t>
      </w:r>
      <w:r w:rsidRPr="0071012B">
        <w:rPr>
          <w:rFonts w:ascii="Palatino Linotype" w:hAnsi="Palatino Linotype"/>
          <w:b/>
          <w:sz w:val="22"/>
          <w:szCs w:val="22"/>
          <w:u w:val="single"/>
        </w:rPr>
        <w:t xml:space="preserve">considerando o </w:t>
      </w:r>
      <w:r w:rsidRPr="0071012B">
        <w:rPr>
          <w:rFonts w:ascii="Palatino Linotype" w:hAnsi="Palatino Linotype"/>
          <w:b/>
          <w:sz w:val="22"/>
          <w:szCs w:val="22"/>
          <w:u w:val="single"/>
        </w:rPr>
        <w:lastRenderedPageBreak/>
        <w:t>valor médio da diária nesse município, seria de aproximadamente R$ 680</w:t>
      </w:r>
      <w:r w:rsidR="0071012B" w:rsidRPr="0071012B">
        <w:rPr>
          <w:rFonts w:ascii="Palatino Linotype" w:hAnsi="Palatino Linotype"/>
          <w:b/>
          <w:sz w:val="22"/>
          <w:szCs w:val="22"/>
          <w:u w:val="single"/>
        </w:rPr>
        <w:t xml:space="preserve"> </w:t>
      </w:r>
      <w:r w:rsidRPr="0071012B">
        <w:rPr>
          <w:rFonts w:ascii="Palatino Linotype" w:hAnsi="Palatino Linotype"/>
          <w:b/>
          <w:sz w:val="22"/>
          <w:szCs w:val="22"/>
          <w:u w:val="single"/>
        </w:rPr>
        <w:t>mil</w:t>
      </w:r>
      <w:r w:rsidRPr="007403E8">
        <w:rPr>
          <w:rFonts w:ascii="Palatino Linotype" w:hAnsi="Palatino Linotype"/>
          <w:sz w:val="22"/>
          <w:szCs w:val="22"/>
        </w:rPr>
        <w:t>. Isto significa que a entrada da Uber no mercado tem potencial de ampliar a oferta de</w:t>
      </w:r>
      <w:r w:rsidR="0071012B">
        <w:rPr>
          <w:rFonts w:ascii="Palatino Linotype" w:hAnsi="Palatino Linotype"/>
          <w:sz w:val="22"/>
          <w:szCs w:val="22"/>
        </w:rPr>
        <w:t xml:space="preserve"> </w:t>
      </w:r>
      <w:r w:rsidRPr="007403E8">
        <w:rPr>
          <w:rFonts w:ascii="Palatino Linotype" w:hAnsi="Palatino Linotype"/>
          <w:sz w:val="22"/>
          <w:szCs w:val="22"/>
        </w:rPr>
        <w:t>serviços até o ponto em que não há mais valor no direito de limitar a participação de</w:t>
      </w:r>
      <w:r w:rsidR="0071012B">
        <w:rPr>
          <w:rFonts w:ascii="Palatino Linotype" w:hAnsi="Palatino Linotype"/>
          <w:sz w:val="22"/>
          <w:szCs w:val="22"/>
        </w:rPr>
        <w:t xml:space="preserve"> </w:t>
      </w:r>
      <w:r w:rsidRPr="007403E8">
        <w:rPr>
          <w:rFonts w:ascii="Palatino Linotype" w:hAnsi="Palatino Linotype"/>
          <w:sz w:val="22"/>
          <w:szCs w:val="22"/>
        </w:rPr>
        <w:t xml:space="preserve">terceiros, podendo, potencialmente, reduzir a zero o valor das licenças. </w:t>
      </w:r>
      <w:r w:rsidRPr="0071012B">
        <w:rPr>
          <w:rFonts w:ascii="Palatino Linotype" w:hAnsi="Palatino Linotype"/>
          <w:b/>
          <w:sz w:val="22"/>
          <w:szCs w:val="22"/>
          <w:u w:val="single"/>
        </w:rPr>
        <w:t>Se multiplicarmos o</w:t>
      </w:r>
      <w:r w:rsidR="0071012B" w:rsidRPr="0071012B">
        <w:rPr>
          <w:rFonts w:ascii="Palatino Linotype" w:hAnsi="Palatino Linotype"/>
          <w:b/>
          <w:sz w:val="22"/>
          <w:szCs w:val="22"/>
          <w:u w:val="single"/>
        </w:rPr>
        <w:t xml:space="preserve"> </w:t>
      </w:r>
      <w:r w:rsidRPr="0071012B">
        <w:rPr>
          <w:rFonts w:ascii="Palatino Linotype" w:hAnsi="Palatino Linotype"/>
          <w:b/>
          <w:sz w:val="22"/>
          <w:szCs w:val="22"/>
          <w:u w:val="single"/>
        </w:rPr>
        <w:t>valor presente líquido de cada licença pelo número de licenças existentes em cada um desses</w:t>
      </w:r>
      <w:r w:rsidR="0071012B" w:rsidRPr="0071012B">
        <w:rPr>
          <w:rFonts w:ascii="Palatino Linotype" w:hAnsi="Palatino Linotype"/>
          <w:b/>
          <w:sz w:val="22"/>
          <w:szCs w:val="22"/>
          <w:u w:val="single"/>
        </w:rPr>
        <w:t xml:space="preserve"> </w:t>
      </w:r>
      <w:r w:rsidRPr="0071012B">
        <w:rPr>
          <w:rFonts w:ascii="Palatino Linotype" w:hAnsi="Palatino Linotype"/>
          <w:b/>
          <w:sz w:val="22"/>
          <w:szCs w:val="22"/>
          <w:u w:val="single"/>
        </w:rPr>
        <w:t>quatro municípios, tem-se um valor aproximado de 58 bilhões de reais decorrente do poder</w:t>
      </w:r>
      <w:r w:rsidR="0071012B" w:rsidRPr="0071012B">
        <w:rPr>
          <w:rFonts w:ascii="Palatino Linotype" w:hAnsi="Palatino Linotype"/>
          <w:b/>
          <w:sz w:val="22"/>
          <w:szCs w:val="22"/>
          <w:u w:val="single"/>
        </w:rPr>
        <w:t xml:space="preserve"> </w:t>
      </w:r>
      <w:r w:rsidRPr="0071012B">
        <w:rPr>
          <w:rFonts w:ascii="Palatino Linotype" w:hAnsi="Palatino Linotype"/>
          <w:b/>
          <w:sz w:val="22"/>
          <w:szCs w:val="22"/>
          <w:u w:val="single"/>
        </w:rPr>
        <w:t>de impedir a entrada de concorrentes</w:t>
      </w:r>
      <w:r w:rsidRPr="007403E8">
        <w:rPr>
          <w:rFonts w:ascii="Palatino Linotype" w:hAnsi="Palatino Linotype"/>
          <w:sz w:val="22"/>
          <w:szCs w:val="22"/>
        </w:rPr>
        <w:t>. Esse é o tamanho da resistência à expansão da Uber.</w:t>
      </w:r>
      <w:r w:rsidR="004A0D63" w:rsidRPr="007403E8">
        <w:rPr>
          <w:rFonts w:ascii="Palatino Linotype" w:hAnsi="Palatino Linotype"/>
          <w:sz w:val="22"/>
          <w:szCs w:val="22"/>
        </w:rPr>
        <w:t>”</w:t>
      </w:r>
    </w:p>
    <w:p w:rsidR="0071012B" w:rsidRPr="007403E8" w:rsidRDefault="0071012B" w:rsidP="007403E8">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w:t>
      </w:r>
      <w:r w:rsidRPr="0071012B">
        <w:rPr>
          <w:rFonts w:ascii="Palatino Linotype" w:hAnsi="Palatino Linotype"/>
          <w:sz w:val="22"/>
          <w:szCs w:val="22"/>
        </w:rPr>
        <w:t xml:space="preserve">AZEVEDO, PF; PONGELUPPE, LS.; MORGULIS, MC; ITO, NC (2016). </w:t>
      </w:r>
      <w:r w:rsidRPr="0071012B">
        <w:rPr>
          <w:rFonts w:ascii="Palatino Linotype" w:hAnsi="Palatino Linotype"/>
          <w:i/>
          <w:sz w:val="22"/>
          <w:szCs w:val="22"/>
        </w:rPr>
        <w:t>Uber: O dilema de crescer com uma inovação disruptiva</w:t>
      </w:r>
      <w:r w:rsidRPr="0071012B">
        <w:rPr>
          <w:rFonts w:ascii="Palatino Linotype" w:hAnsi="Palatino Linotype"/>
          <w:sz w:val="22"/>
          <w:szCs w:val="22"/>
        </w:rPr>
        <w:t>. Insper: Série Estudos de Caso.</w:t>
      </w:r>
      <w:r>
        <w:rPr>
          <w:rFonts w:ascii="Palatino Linotype" w:hAnsi="Palatino Linotype"/>
          <w:sz w:val="22"/>
          <w:szCs w:val="22"/>
        </w:rPr>
        <w:t xml:space="preserve"> Disponível em: &lt;</w:t>
      </w:r>
      <w:r w:rsidRPr="0071012B">
        <w:rPr>
          <w:rFonts w:ascii="Palatino Linotype" w:hAnsi="Palatino Linotype"/>
          <w:sz w:val="22"/>
          <w:szCs w:val="22"/>
        </w:rPr>
        <w:t>https://www.insper.edu.br/casos/colecao-ae/uber-o-dilema-de-crescer-com-uma-inovacao-disruptiva/</w:t>
      </w:r>
      <w:r>
        <w:rPr>
          <w:rFonts w:ascii="Palatino Linotype" w:hAnsi="Palatino Linotype"/>
          <w:sz w:val="22"/>
          <w:szCs w:val="22"/>
        </w:rPr>
        <w:t>&gt;)</w:t>
      </w:r>
    </w:p>
    <w:p w:rsidR="003E7737" w:rsidRDefault="00C24681"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O cenário ora delineado representa a existência de evidente captura regulatória dos órgãos públicos para proibir o esvaziamento do valor das licenças de táxi em razão da abertura de mercado, ainda que isso represente dano aos consumidores e demais trabalhadores qu</w:t>
      </w:r>
      <w:r w:rsidR="003E7737">
        <w:rPr>
          <w:rFonts w:ascii="Palatino Linotype" w:hAnsi="Palatino Linotype"/>
          <w:sz w:val="26"/>
          <w:szCs w:val="26"/>
        </w:rPr>
        <w:t>e pretendem ingressar no setor.</w:t>
      </w:r>
      <w:r w:rsidR="008F5574">
        <w:rPr>
          <w:rFonts w:ascii="Palatino Linotype" w:hAnsi="Palatino Linotype"/>
          <w:sz w:val="26"/>
          <w:szCs w:val="26"/>
        </w:rPr>
        <w:t xml:space="preserve"> A norma restritiva da atividade de transporte individual consiste em odiosa forma de transferência de recursos dos consumidores para os detentores de licenças, diminuindo as opções de escolha daqueles para favorecer estes últimos.</w:t>
      </w:r>
    </w:p>
    <w:p w:rsidR="00CB43E4" w:rsidRPr="00AD2698" w:rsidRDefault="008F5574"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Mesmo os detentores de licença que não delegam o exercício da atividade de táxis a terceiros não fazem jus a qualquer proteção legal ou administrativa em face da concorrência.</w:t>
      </w:r>
      <w:r w:rsidR="003E7737">
        <w:rPr>
          <w:rFonts w:ascii="Palatino Linotype" w:hAnsi="Palatino Linotype"/>
          <w:sz w:val="26"/>
          <w:szCs w:val="26"/>
        </w:rPr>
        <w:t xml:space="preserve"> </w:t>
      </w:r>
      <w:r w:rsidR="00B171DE">
        <w:rPr>
          <w:rFonts w:ascii="Palatino Linotype" w:hAnsi="Palatino Linotype"/>
          <w:sz w:val="26"/>
          <w:szCs w:val="26"/>
        </w:rPr>
        <w:t>O</w:t>
      </w:r>
      <w:r w:rsidR="003E7737">
        <w:rPr>
          <w:rFonts w:ascii="Palatino Linotype" w:hAnsi="Palatino Linotype"/>
          <w:sz w:val="26"/>
          <w:szCs w:val="26"/>
        </w:rPr>
        <w:t xml:space="preserve">s motoristas </w:t>
      </w:r>
      <w:r w:rsidR="00B171DE">
        <w:rPr>
          <w:rFonts w:ascii="Palatino Linotype" w:hAnsi="Palatino Linotype"/>
          <w:sz w:val="26"/>
          <w:szCs w:val="26"/>
        </w:rPr>
        <w:t xml:space="preserve">que operam </w:t>
      </w:r>
      <w:r w:rsidR="003E7737">
        <w:rPr>
          <w:rFonts w:ascii="Palatino Linotype" w:hAnsi="Palatino Linotype"/>
          <w:sz w:val="26"/>
          <w:szCs w:val="26"/>
        </w:rPr>
        <w:t>tradicionalmente no mercado p</w:t>
      </w:r>
      <w:r w:rsidR="00B53A89">
        <w:rPr>
          <w:rFonts w:ascii="Palatino Linotype" w:hAnsi="Palatino Linotype"/>
          <w:sz w:val="26"/>
          <w:szCs w:val="26"/>
        </w:rPr>
        <w:t>odem</w:t>
      </w:r>
      <w:r w:rsidR="00B171DE">
        <w:rPr>
          <w:rFonts w:ascii="Palatino Linotype" w:hAnsi="Palatino Linotype"/>
          <w:sz w:val="26"/>
          <w:szCs w:val="26"/>
        </w:rPr>
        <w:t xml:space="preserve">, em um primeiro momento, experimentar um decréscimo de </w:t>
      </w:r>
      <w:r w:rsidR="003E7737">
        <w:rPr>
          <w:rFonts w:ascii="Palatino Linotype" w:hAnsi="Palatino Linotype"/>
          <w:sz w:val="26"/>
          <w:szCs w:val="26"/>
        </w:rPr>
        <w:t xml:space="preserve">renda </w:t>
      </w:r>
      <w:r w:rsidR="00B171DE">
        <w:rPr>
          <w:rFonts w:ascii="Palatino Linotype" w:hAnsi="Palatino Linotype"/>
          <w:sz w:val="26"/>
          <w:szCs w:val="26"/>
        </w:rPr>
        <w:t>obtida n</w:t>
      </w:r>
      <w:r w:rsidR="003E7737">
        <w:rPr>
          <w:rFonts w:ascii="Palatino Linotype" w:hAnsi="Palatino Linotype"/>
          <w:sz w:val="26"/>
          <w:szCs w:val="26"/>
        </w:rPr>
        <w:t>a atividade a partir do ingresso de novos agentes</w:t>
      </w:r>
      <w:r w:rsidR="007432F5">
        <w:rPr>
          <w:rFonts w:ascii="Palatino Linotype" w:hAnsi="Palatino Linotype"/>
          <w:sz w:val="26"/>
          <w:szCs w:val="26"/>
        </w:rPr>
        <w:t>, por efeito natural da lei da oferta e da demanda</w:t>
      </w:r>
      <w:r w:rsidR="00B53A89">
        <w:rPr>
          <w:rFonts w:ascii="Palatino Linotype" w:hAnsi="Palatino Linotype"/>
          <w:sz w:val="26"/>
          <w:szCs w:val="26"/>
        </w:rPr>
        <w:t xml:space="preserve"> – </w:t>
      </w:r>
      <w:r w:rsidR="00B171DE">
        <w:rPr>
          <w:rFonts w:ascii="Palatino Linotype" w:hAnsi="Palatino Linotype"/>
          <w:sz w:val="26"/>
          <w:szCs w:val="26"/>
        </w:rPr>
        <w:t>muito embora existam</w:t>
      </w:r>
      <w:r w:rsidR="00B53A89">
        <w:rPr>
          <w:rFonts w:ascii="Palatino Linotype" w:hAnsi="Palatino Linotype"/>
          <w:sz w:val="26"/>
          <w:szCs w:val="26"/>
        </w:rPr>
        <w:t xml:space="preserve">, como será esclarecido </w:t>
      </w:r>
      <w:r w:rsidR="00B171DE">
        <w:rPr>
          <w:rFonts w:ascii="Palatino Linotype" w:hAnsi="Palatino Linotype"/>
          <w:sz w:val="26"/>
          <w:szCs w:val="26"/>
        </w:rPr>
        <w:t>posteriormente</w:t>
      </w:r>
      <w:r w:rsidR="00B53A89">
        <w:rPr>
          <w:rFonts w:ascii="Palatino Linotype" w:hAnsi="Palatino Linotype"/>
          <w:sz w:val="26"/>
          <w:szCs w:val="26"/>
        </w:rPr>
        <w:t>, evidências empíricas no sentido de que esse decréscimo de renda não ocorreu de fato nas principais cidades brasileiras</w:t>
      </w:r>
      <w:r w:rsidR="003E7737">
        <w:rPr>
          <w:rFonts w:ascii="Palatino Linotype" w:hAnsi="Palatino Linotype"/>
          <w:sz w:val="26"/>
          <w:szCs w:val="26"/>
        </w:rPr>
        <w:t xml:space="preserve">. Trata-se do mesmo que ocorre, por exemplo, com o padeiro que atuava sozinho no bairro, depois da abertura de uma nova padaria no bloco vizinho. Os antigos agentes, então, devem prestar um serviço melhor, mais barato ou, em último caso, migrar para </w:t>
      </w:r>
      <w:r w:rsidR="003E7737">
        <w:rPr>
          <w:rFonts w:ascii="Palatino Linotype" w:hAnsi="Palatino Linotype"/>
          <w:sz w:val="26"/>
          <w:szCs w:val="26"/>
        </w:rPr>
        <w:lastRenderedPageBreak/>
        <w:t>outra atividade, na qual podem produzir maior valor para a sociedade. Essa sistemática é benéfica para os consumidores, para a coletividade e também para os trabalhadores, na medida em que a competição, sempre saudável, os torna mais produtivos.</w:t>
      </w:r>
      <w:r w:rsidR="00AD2698">
        <w:rPr>
          <w:rFonts w:ascii="Palatino Linotype" w:hAnsi="Palatino Linotype"/>
          <w:sz w:val="26"/>
          <w:szCs w:val="26"/>
        </w:rPr>
        <w:t xml:space="preserve"> Por isso mesmo</w:t>
      </w:r>
      <w:r w:rsidR="005B4D61">
        <w:rPr>
          <w:rFonts w:ascii="Palatino Linotype" w:hAnsi="Palatino Linotype"/>
          <w:sz w:val="26"/>
          <w:szCs w:val="26"/>
        </w:rPr>
        <w:t>,</w:t>
      </w:r>
      <w:r w:rsidR="00AD2698">
        <w:rPr>
          <w:rFonts w:ascii="Palatino Linotype" w:hAnsi="Palatino Linotype"/>
          <w:sz w:val="26"/>
          <w:szCs w:val="26"/>
        </w:rPr>
        <w:t xml:space="preserve"> é </w:t>
      </w:r>
      <w:r w:rsidR="005B4D61">
        <w:rPr>
          <w:rFonts w:ascii="Palatino Linotype" w:hAnsi="Palatino Linotype"/>
          <w:sz w:val="26"/>
          <w:szCs w:val="26"/>
        </w:rPr>
        <w:t xml:space="preserve">a sistemática </w:t>
      </w:r>
      <w:r w:rsidR="00AD2698">
        <w:rPr>
          <w:rFonts w:ascii="Palatino Linotype" w:hAnsi="Palatino Linotype"/>
          <w:sz w:val="26"/>
          <w:szCs w:val="26"/>
        </w:rPr>
        <w:t>protegida por diversas normas constitucionais</w:t>
      </w:r>
      <w:r w:rsidR="005B4D61">
        <w:rPr>
          <w:rFonts w:ascii="Palatino Linotype" w:hAnsi="Palatino Linotype"/>
          <w:sz w:val="26"/>
          <w:szCs w:val="26"/>
        </w:rPr>
        <w:t xml:space="preserve"> protetivas de liberdades básicas e da concorrência</w:t>
      </w:r>
      <w:r w:rsidR="00AD2698">
        <w:rPr>
          <w:rFonts w:ascii="Palatino Linotype" w:hAnsi="Palatino Linotype"/>
          <w:sz w:val="26"/>
          <w:szCs w:val="26"/>
        </w:rPr>
        <w:t xml:space="preserve"> (arts. 1º, IV; 5º, </w:t>
      </w:r>
      <w:r w:rsidR="00AD2698">
        <w:rPr>
          <w:rFonts w:ascii="Palatino Linotype" w:hAnsi="Palatino Linotype"/>
          <w:i/>
          <w:sz w:val="26"/>
          <w:szCs w:val="26"/>
        </w:rPr>
        <w:t>caput</w:t>
      </w:r>
      <w:r w:rsidR="00AD2698">
        <w:rPr>
          <w:rFonts w:ascii="Palatino Linotype" w:hAnsi="Palatino Linotype"/>
          <w:sz w:val="26"/>
          <w:szCs w:val="26"/>
        </w:rPr>
        <w:t xml:space="preserve"> e XIII; 170, </w:t>
      </w:r>
      <w:r w:rsidR="00AD2698">
        <w:rPr>
          <w:rFonts w:ascii="Palatino Linotype" w:hAnsi="Palatino Linotype"/>
          <w:i/>
          <w:sz w:val="26"/>
          <w:szCs w:val="26"/>
        </w:rPr>
        <w:t>caput</w:t>
      </w:r>
      <w:r w:rsidR="00AD2698">
        <w:rPr>
          <w:rFonts w:ascii="Palatino Linotype" w:hAnsi="Palatino Linotype"/>
          <w:sz w:val="26"/>
          <w:szCs w:val="26"/>
        </w:rPr>
        <w:t xml:space="preserve"> e IV; 173, § 4º).</w:t>
      </w:r>
    </w:p>
    <w:p w:rsidR="003E7737" w:rsidRPr="00DF048B" w:rsidRDefault="003E7737"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Sobre os benefícios sociais e ao consumidor, analisarei de forma mais detida adiante. O que se deve frisar no presente momento é que </w:t>
      </w:r>
      <w:r>
        <w:rPr>
          <w:rFonts w:ascii="Palatino Linotype" w:hAnsi="Palatino Linotype"/>
          <w:i/>
          <w:sz w:val="26"/>
          <w:szCs w:val="26"/>
        </w:rPr>
        <w:t>não pode o Estado impedir a entrada de novos agentes no mercado para preservar a renda de agentes tradicionais</w:t>
      </w:r>
      <w:r>
        <w:rPr>
          <w:rFonts w:ascii="Palatino Linotype" w:hAnsi="Palatino Linotype"/>
          <w:sz w:val="26"/>
          <w:szCs w:val="26"/>
        </w:rPr>
        <w:t xml:space="preserve">, sob pena de insanável violação aos princípios constitucionais da igualdade (art. 5º, </w:t>
      </w:r>
      <w:r>
        <w:rPr>
          <w:rFonts w:ascii="Palatino Linotype" w:hAnsi="Palatino Linotype"/>
          <w:i/>
          <w:sz w:val="26"/>
          <w:szCs w:val="26"/>
        </w:rPr>
        <w:t>caput</w:t>
      </w:r>
      <w:r>
        <w:rPr>
          <w:rFonts w:ascii="Palatino Linotype" w:hAnsi="Palatino Linotype"/>
          <w:sz w:val="26"/>
          <w:szCs w:val="26"/>
        </w:rPr>
        <w:t>) e da livre iniciativa (artigos 1º, IV, e 170).</w:t>
      </w:r>
      <w:r w:rsidR="00095A80">
        <w:rPr>
          <w:rFonts w:ascii="Palatino Linotype" w:hAnsi="Palatino Linotype"/>
          <w:sz w:val="26"/>
          <w:szCs w:val="26"/>
        </w:rPr>
        <w:t xml:space="preserve"> Esta é a </w:t>
      </w:r>
      <w:r w:rsidR="00095A80">
        <w:rPr>
          <w:rFonts w:ascii="Palatino Linotype" w:hAnsi="Palatino Linotype"/>
          <w:i/>
          <w:sz w:val="26"/>
          <w:szCs w:val="26"/>
        </w:rPr>
        <w:t>ratio</w:t>
      </w:r>
      <w:r w:rsidR="00095A80">
        <w:rPr>
          <w:rFonts w:ascii="Palatino Linotype" w:hAnsi="Palatino Linotype"/>
          <w:sz w:val="26"/>
          <w:szCs w:val="26"/>
        </w:rPr>
        <w:t xml:space="preserve"> que informou a edição da Súmula Vinculante nº 49 por esta Corte, segundo a qual, </w:t>
      </w:r>
      <w:r w:rsidR="00095A80">
        <w:rPr>
          <w:rFonts w:ascii="Palatino Linotype" w:hAnsi="Palatino Linotype"/>
          <w:i/>
          <w:sz w:val="26"/>
          <w:szCs w:val="26"/>
        </w:rPr>
        <w:t>in verbis</w:t>
      </w:r>
      <w:r w:rsidR="00095A80">
        <w:rPr>
          <w:rFonts w:ascii="Palatino Linotype" w:hAnsi="Palatino Linotype"/>
          <w:sz w:val="26"/>
          <w:szCs w:val="26"/>
        </w:rPr>
        <w:t>: “</w:t>
      </w:r>
      <w:r w:rsidR="00095A80" w:rsidRPr="00095A80">
        <w:rPr>
          <w:rFonts w:ascii="Palatino Linotype" w:hAnsi="Palatino Linotype"/>
          <w:i/>
          <w:sz w:val="26"/>
          <w:szCs w:val="26"/>
        </w:rPr>
        <w:t>Ofende o princípio da livre concorrência lei municipal que impede a instalação de estabelecimentos comerciais do mesmo ramo em determinada área</w:t>
      </w:r>
      <w:r w:rsidR="00095A80">
        <w:rPr>
          <w:rFonts w:ascii="Palatino Linotype" w:hAnsi="Palatino Linotype"/>
          <w:sz w:val="26"/>
          <w:szCs w:val="26"/>
        </w:rPr>
        <w:t>”.</w:t>
      </w:r>
      <w:r w:rsidR="00CB43E4">
        <w:rPr>
          <w:rFonts w:ascii="Palatino Linotype" w:hAnsi="Palatino Linotype"/>
          <w:sz w:val="26"/>
          <w:szCs w:val="26"/>
        </w:rPr>
        <w:t xml:space="preserve"> Afinal, o propósito do Direito antitruste, de caráter constitucional, é precisamente proteger </w:t>
      </w:r>
      <w:r w:rsidR="00DF048B">
        <w:rPr>
          <w:rFonts w:ascii="Palatino Linotype" w:hAnsi="Palatino Linotype"/>
          <w:sz w:val="26"/>
          <w:szCs w:val="26"/>
        </w:rPr>
        <w:t xml:space="preserve">os novos entrantes em face de ações concertadas dos </w:t>
      </w:r>
      <w:r w:rsidR="00DF048B">
        <w:rPr>
          <w:rFonts w:ascii="Palatino Linotype" w:hAnsi="Palatino Linotype"/>
          <w:i/>
          <w:sz w:val="26"/>
          <w:szCs w:val="26"/>
        </w:rPr>
        <w:t>players</w:t>
      </w:r>
      <w:r w:rsidR="00DF048B">
        <w:rPr>
          <w:rFonts w:ascii="Palatino Linotype" w:hAnsi="Palatino Linotype"/>
          <w:sz w:val="26"/>
          <w:szCs w:val="26"/>
        </w:rPr>
        <w:t xml:space="preserve"> tradicionais</w:t>
      </w:r>
      <w:r w:rsidR="00D07CD6">
        <w:rPr>
          <w:rFonts w:ascii="Palatino Linotype" w:hAnsi="Palatino Linotype"/>
          <w:sz w:val="26"/>
          <w:szCs w:val="26"/>
        </w:rPr>
        <w:t>, não o inverso</w:t>
      </w:r>
      <w:r w:rsidR="00DF048B">
        <w:rPr>
          <w:rFonts w:ascii="Palatino Linotype" w:hAnsi="Palatino Linotype"/>
          <w:sz w:val="26"/>
          <w:szCs w:val="26"/>
        </w:rPr>
        <w:t>. Conforme dispõe o art. 173, § 4º, da Constituição, a “</w:t>
      </w:r>
      <w:r w:rsidR="00DF048B" w:rsidRPr="00DF048B">
        <w:rPr>
          <w:rFonts w:ascii="Palatino Linotype" w:hAnsi="Palatino Linotype"/>
          <w:i/>
          <w:sz w:val="26"/>
          <w:szCs w:val="26"/>
        </w:rPr>
        <w:t>lei reprimirá o abuso do poder econômico que vise à dominação dos mercados, à eliminação da concorrência e ao aumento arbitrário dos lucros</w:t>
      </w:r>
      <w:r w:rsidR="00DF048B">
        <w:rPr>
          <w:rFonts w:ascii="Palatino Linotype" w:hAnsi="Palatino Linotype"/>
          <w:sz w:val="26"/>
          <w:szCs w:val="26"/>
        </w:rPr>
        <w:t>”. Quando a lei restringe mercados de forma artificial, está, na realidade, favorecendo a dominação dos mercados, a eliminação da concorrência e o aumento arbitrário dos lucros. Este último fator ocorre pela fixação de tarifas manifestamente superiores ao preço de mercado, o que se verifica pelo fato de que novos concorrentes têm conseguido se estabelecer</w:t>
      </w:r>
      <w:r w:rsidR="00C35ED8">
        <w:rPr>
          <w:rFonts w:ascii="Palatino Linotype" w:hAnsi="Palatino Linotype"/>
          <w:sz w:val="26"/>
          <w:szCs w:val="26"/>
        </w:rPr>
        <w:t xml:space="preserve"> no mercado de transporte individual</w:t>
      </w:r>
      <w:r w:rsidR="00DF048B">
        <w:rPr>
          <w:rFonts w:ascii="Palatino Linotype" w:hAnsi="Palatino Linotype"/>
          <w:sz w:val="26"/>
          <w:szCs w:val="26"/>
        </w:rPr>
        <w:t xml:space="preserve"> com serviços de qualidade </w:t>
      </w:r>
      <w:r w:rsidR="00FC755B">
        <w:rPr>
          <w:rFonts w:ascii="Palatino Linotype" w:hAnsi="Palatino Linotype"/>
          <w:sz w:val="26"/>
          <w:szCs w:val="26"/>
        </w:rPr>
        <w:t xml:space="preserve">e </w:t>
      </w:r>
      <w:r w:rsidR="00DF048B">
        <w:rPr>
          <w:rFonts w:ascii="Palatino Linotype" w:hAnsi="Palatino Linotype"/>
          <w:sz w:val="26"/>
          <w:szCs w:val="26"/>
        </w:rPr>
        <w:t>por preços inferiores ou semelhantes.</w:t>
      </w:r>
      <w:r w:rsidR="00B909C7">
        <w:rPr>
          <w:rFonts w:ascii="Palatino Linotype" w:hAnsi="Palatino Linotype"/>
          <w:sz w:val="26"/>
          <w:szCs w:val="26"/>
        </w:rPr>
        <w:t xml:space="preserve"> Tudo isso em razão da atividade de grupos de pressão perante os Poderes Legislativo e Executivo, nas mais variadas esferas da Federação.</w:t>
      </w:r>
    </w:p>
    <w:p w:rsidR="00C24681" w:rsidRPr="00C24681" w:rsidRDefault="00C24681"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 xml:space="preserve">À luz dos já referidos ensinamentos de George Stigler, o ambiente por excelência do denominado </w:t>
      </w:r>
      <w:r>
        <w:rPr>
          <w:rFonts w:ascii="Palatino Linotype" w:hAnsi="Palatino Linotype"/>
          <w:i/>
          <w:sz w:val="26"/>
          <w:szCs w:val="26"/>
        </w:rPr>
        <w:t>rent-seeking</w:t>
      </w:r>
      <w:r>
        <w:rPr>
          <w:rFonts w:ascii="Palatino Linotype" w:hAnsi="Palatino Linotype"/>
          <w:sz w:val="26"/>
          <w:szCs w:val="26"/>
        </w:rPr>
        <w:t xml:space="preserve">, consubstanciado na captura do poder político pelos detentores de poder econômico, tem lugar quando os ganhos de determinada medida são concentrados em uma classe, ao passo </w:t>
      </w:r>
      <w:r>
        <w:rPr>
          <w:rFonts w:ascii="Palatino Linotype" w:hAnsi="Palatino Linotype"/>
          <w:sz w:val="26"/>
          <w:szCs w:val="26"/>
        </w:rPr>
        <w:lastRenderedPageBreak/>
        <w:t>que os custos são dispersos pela coletividade, reduzindo os incentivos para a resistência pelas vias tradicionais de participação. Nesses casos de disfuncionalidade das instituições democráticas, é dever do Judiciário intervir para garantir a plena efetividade das liberdades constitucionalmente asseguradas.</w:t>
      </w:r>
    </w:p>
    <w:p w:rsidR="00FB32A4" w:rsidRDefault="00FB32A4" w:rsidP="00BD2039">
      <w:pPr>
        <w:pStyle w:val="NormalWeb"/>
        <w:spacing w:after="0" w:line="264" w:lineRule="auto"/>
        <w:ind w:firstLine="567"/>
        <w:jc w:val="both"/>
        <w:rPr>
          <w:rFonts w:ascii="Palatino Linotype" w:hAnsi="Palatino Linotype"/>
          <w:sz w:val="26"/>
          <w:szCs w:val="26"/>
        </w:rPr>
      </w:pPr>
      <w:r>
        <w:rPr>
          <w:rFonts w:ascii="Palatino Linotype" w:hAnsi="Palatino Linotype"/>
          <w:sz w:val="26"/>
          <w:szCs w:val="26"/>
        </w:rPr>
        <w:t>No julgamento das Ações Diretas de Inconstitucionalidade nº 5.062 e 5.065, de minha relatoria, formulei profundas considerações sobre os parâmetros que devem nortear a análise da proporcionalidade de atos regulatórios</w:t>
      </w:r>
      <w:r w:rsidR="00C24681">
        <w:rPr>
          <w:rFonts w:ascii="Palatino Linotype" w:hAnsi="Palatino Linotype"/>
          <w:sz w:val="26"/>
          <w:szCs w:val="26"/>
        </w:rPr>
        <w:t xml:space="preserve"> em cenários de evidente captura</w:t>
      </w:r>
      <w:r>
        <w:rPr>
          <w:rFonts w:ascii="Palatino Linotype" w:hAnsi="Palatino Linotype"/>
          <w:sz w:val="26"/>
          <w:szCs w:val="26"/>
        </w:rPr>
        <w:t>, sendo de rigor a transcrição para lançar luzes ao caso ora em análise:</w:t>
      </w:r>
    </w:p>
    <w:p w:rsidR="00FB32A4" w:rsidRPr="00FB32A4" w:rsidRDefault="00FB32A4" w:rsidP="00FB32A4">
      <w:pPr>
        <w:pStyle w:val="NormalWeb"/>
        <w:spacing w:after="0" w:line="264" w:lineRule="auto"/>
        <w:ind w:left="2268"/>
        <w:jc w:val="both"/>
        <w:rPr>
          <w:rFonts w:ascii="Palatino Linotype" w:hAnsi="Palatino Linotype"/>
          <w:sz w:val="22"/>
          <w:szCs w:val="22"/>
        </w:rPr>
      </w:pPr>
      <w:r w:rsidRPr="00FB32A4">
        <w:rPr>
          <w:rFonts w:ascii="Palatino Linotype" w:hAnsi="Palatino Linotype"/>
          <w:sz w:val="22"/>
          <w:szCs w:val="22"/>
        </w:rPr>
        <w:t>“O mito da benevolência dos governantes vem sendo desmistificado desde a segunda metade do século XX com os estudos da Teoria da Escolha Pública (</w:t>
      </w:r>
      <w:r w:rsidRPr="005E0EFA">
        <w:rPr>
          <w:rFonts w:ascii="Palatino Linotype" w:hAnsi="Palatino Linotype"/>
          <w:i/>
          <w:sz w:val="22"/>
          <w:szCs w:val="22"/>
        </w:rPr>
        <w:t>Public Choice Theory</w:t>
      </w:r>
      <w:r w:rsidRPr="00FB32A4">
        <w:rPr>
          <w:rFonts w:ascii="Palatino Linotype" w:hAnsi="Palatino Linotype"/>
          <w:sz w:val="22"/>
          <w:szCs w:val="22"/>
        </w:rPr>
        <w:t xml:space="preserve">). Trata-se de área do conhecimento que emprega a metodologia econômica para lidar com questões tradicionais de ciência política (cf., dentre outros, DOWNS, Anthony. </w:t>
      </w:r>
      <w:r w:rsidRPr="00FB32A4">
        <w:rPr>
          <w:rFonts w:ascii="Palatino Linotype" w:hAnsi="Palatino Linotype"/>
          <w:sz w:val="22"/>
          <w:szCs w:val="22"/>
          <w:lang w:val="en-US"/>
        </w:rPr>
        <w:t xml:space="preserve">An Economic Theory of Democracy. New York: Harper, 1957; BUCHANAN, James M., TULLOCK, Gordon. The Calculus of Consent: Logical Foundations of Constitutional Democracy. Ann Arbor: University of Michigan Press, 1962). </w:t>
      </w:r>
      <w:r w:rsidRPr="00FB32A4">
        <w:rPr>
          <w:rFonts w:ascii="Palatino Linotype" w:hAnsi="Palatino Linotype"/>
          <w:sz w:val="22"/>
          <w:szCs w:val="22"/>
        </w:rPr>
        <w:t xml:space="preserve">Esse aporte teórico ajuda a identificar a estrutura de incentivos a que estão sujeitos legisladores e burocratas, nem sempre pautados pelo interesse público. </w:t>
      </w:r>
    </w:p>
    <w:p w:rsidR="00FB32A4" w:rsidRPr="00FB32A4" w:rsidRDefault="00FB32A4" w:rsidP="00FB32A4">
      <w:pPr>
        <w:pStyle w:val="NormalWeb"/>
        <w:spacing w:after="0" w:line="264" w:lineRule="auto"/>
        <w:ind w:left="2268"/>
        <w:jc w:val="both"/>
        <w:rPr>
          <w:rFonts w:ascii="Palatino Linotype" w:hAnsi="Palatino Linotype"/>
          <w:sz w:val="22"/>
          <w:szCs w:val="22"/>
        </w:rPr>
      </w:pPr>
      <w:r w:rsidRPr="00FB32A4">
        <w:rPr>
          <w:rFonts w:ascii="Palatino Linotype" w:hAnsi="Palatino Linotype"/>
          <w:sz w:val="22"/>
          <w:szCs w:val="22"/>
        </w:rPr>
        <w:t>Dentre os problemas diagnosticados, destaca-se, pela sua especial relevância</w:t>
      </w:r>
      <w:r>
        <w:rPr>
          <w:rFonts w:ascii="Palatino Linotype" w:hAnsi="Palatino Linotype"/>
          <w:sz w:val="22"/>
          <w:szCs w:val="22"/>
        </w:rPr>
        <w:t>, a chamada captura regulatória</w:t>
      </w:r>
      <w:r w:rsidRPr="00FB32A4">
        <w:rPr>
          <w:rFonts w:ascii="Palatino Linotype" w:hAnsi="Palatino Linotype"/>
          <w:sz w:val="22"/>
          <w:szCs w:val="22"/>
        </w:rPr>
        <w:t xml:space="preserve">, assim compreendida a manipulação do processo de decisão coletiva em favor de determinados grupos de interesse, geralmente mais organizados, e em detrimento de toda a sociedade (cf. BÓ, Ernesto Dal. </w:t>
      </w:r>
      <w:r w:rsidRPr="00FB32A4">
        <w:rPr>
          <w:rFonts w:ascii="Palatino Linotype" w:hAnsi="Palatino Linotype"/>
          <w:sz w:val="22"/>
          <w:szCs w:val="22"/>
          <w:lang w:val="en-US"/>
        </w:rPr>
        <w:t xml:space="preserve">Regulatory capture: a review. Oxford Review of Economic Policy , vol. 22, nº 2, 2006, pp. 203-225). </w:t>
      </w:r>
      <w:r w:rsidRPr="00FB32A4">
        <w:rPr>
          <w:rFonts w:ascii="Palatino Linotype" w:hAnsi="Palatino Linotype"/>
          <w:sz w:val="22"/>
          <w:szCs w:val="22"/>
        </w:rPr>
        <w:t>A captura regulatória acaba muitas vezes por ocasionar vício há muito conhecido na doutrina juspublici</w:t>
      </w:r>
      <w:r>
        <w:rPr>
          <w:rFonts w:ascii="Palatino Linotype" w:hAnsi="Palatino Linotype"/>
          <w:sz w:val="22"/>
          <w:szCs w:val="22"/>
        </w:rPr>
        <w:t>sta nacional: o desvio de poder</w:t>
      </w:r>
      <w:r w:rsidRPr="00FB32A4">
        <w:rPr>
          <w:rFonts w:ascii="Palatino Linotype" w:hAnsi="Palatino Linotype"/>
          <w:sz w:val="22"/>
          <w:szCs w:val="22"/>
        </w:rPr>
        <w:t xml:space="preserve">, seja legislativo, seja administrativo (cf. TÁCITO, Caio. Desvio de poder legislativo. Revista Trimestral de Direito Público. São Paulo, nº 1, 1993, pp. 62-68; MELLO, Celso Antônio Bandeira de. O desvio de poder. Revista de Direito Administrativo. Rio de Janeiro, nº 172, 1988, pp. 1-19). </w:t>
      </w:r>
    </w:p>
    <w:p w:rsidR="00FB32A4" w:rsidRDefault="00FB32A4" w:rsidP="00FB32A4">
      <w:pPr>
        <w:pStyle w:val="NormalWeb"/>
        <w:spacing w:after="0" w:line="264" w:lineRule="auto"/>
        <w:ind w:left="2268"/>
        <w:jc w:val="both"/>
        <w:rPr>
          <w:rFonts w:ascii="Palatino Linotype" w:hAnsi="Palatino Linotype"/>
          <w:sz w:val="22"/>
          <w:szCs w:val="22"/>
        </w:rPr>
      </w:pPr>
      <w:r w:rsidRPr="00FB32A4">
        <w:rPr>
          <w:rFonts w:ascii="Palatino Linotype" w:hAnsi="Palatino Linotype"/>
          <w:sz w:val="22"/>
          <w:szCs w:val="22"/>
        </w:rPr>
        <w:lastRenderedPageBreak/>
        <w:t>Pois bem. A segunda diretriz acima pretende exatamente evitar que o processo de decisão política seja forjado para favorecer interesses específicos em detrimento de toda a coletividade. A transparência exigida cria um ambiente propício à consistência regulatória, na medida em que constrange os agentes decisórios a explicitar, com maior rigor analítico, os motivos causadores e fins perseguidos pela intervenção estatal. A falta de transparência, a seu</w:t>
      </w:r>
      <w:r>
        <w:rPr>
          <w:rFonts w:ascii="Palatino Linotype" w:hAnsi="Palatino Linotype"/>
          <w:sz w:val="22"/>
          <w:szCs w:val="22"/>
        </w:rPr>
        <w:t xml:space="preserve"> turno, torna a medida suspeita</w:t>
      </w:r>
      <w:r w:rsidRPr="00FB32A4">
        <w:rPr>
          <w:rFonts w:ascii="Palatino Linotype" w:hAnsi="Palatino Linotype"/>
          <w:sz w:val="22"/>
          <w:szCs w:val="22"/>
        </w:rPr>
        <w:t>, autorizando postura mais particularista do Poder Judiciário no exame da sua validade jurídica. Acredito que o insulamento de juízes e tribunais na estrutura do Estado, assegurado por um regime de independência e imparcialidade, permite que essa análise seja feita com mais neutralidade.</w:t>
      </w:r>
    </w:p>
    <w:p w:rsidR="00FB32A4" w:rsidRDefault="00FB32A4" w:rsidP="00FB32A4">
      <w:pPr>
        <w:pStyle w:val="NormalWeb"/>
        <w:spacing w:after="0" w:line="264" w:lineRule="auto"/>
        <w:ind w:left="2268"/>
        <w:jc w:val="both"/>
        <w:rPr>
          <w:rFonts w:ascii="Palatino Linotype" w:hAnsi="Palatino Linotype"/>
          <w:sz w:val="22"/>
          <w:szCs w:val="22"/>
        </w:rPr>
      </w:pPr>
      <w:r>
        <w:rPr>
          <w:rFonts w:ascii="Palatino Linotype" w:hAnsi="Palatino Linotype"/>
          <w:sz w:val="22"/>
          <w:szCs w:val="22"/>
        </w:rPr>
        <w:t>(...)</w:t>
      </w:r>
    </w:p>
    <w:p w:rsidR="00FB32A4" w:rsidRPr="00FB32A4" w:rsidRDefault="00FB32A4" w:rsidP="00FB32A4">
      <w:pPr>
        <w:pStyle w:val="NormalWeb"/>
        <w:spacing w:after="0" w:line="264" w:lineRule="auto"/>
        <w:ind w:left="2268"/>
        <w:jc w:val="both"/>
        <w:rPr>
          <w:rFonts w:ascii="Palatino Linotype" w:hAnsi="Palatino Linotype"/>
          <w:sz w:val="22"/>
          <w:szCs w:val="22"/>
        </w:rPr>
      </w:pPr>
      <w:r w:rsidRPr="00FB32A4">
        <w:rPr>
          <w:rFonts w:ascii="Palatino Linotype" w:hAnsi="Palatino Linotype"/>
          <w:sz w:val="22"/>
          <w:szCs w:val="22"/>
        </w:rPr>
        <w:t xml:space="preserve">Na dogmática jurídica, o dever de proporcionalidade constitui autêntica pauta de moderação e prudência a orientar toda a atuação do Poder Público. Sua função é permitir a harmonia axiológica do sistema normativo. Seu fundamento é a própria noção de princípios jurídicos como mandamentos de otimização em face de restrições fáticas e jurídicas, na esteira </w:t>
      </w:r>
      <w:r>
        <w:rPr>
          <w:rFonts w:ascii="Palatino Linotype" w:hAnsi="Palatino Linotype"/>
          <w:sz w:val="22"/>
          <w:szCs w:val="22"/>
        </w:rPr>
        <w:t>do magistério de Robert Alexy (</w:t>
      </w:r>
      <w:r w:rsidRPr="00FB32A4">
        <w:rPr>
          <w:rFonts w:ascii="Palatino Linotype" w:hAnsi="Palatino Linotype"/>
          <w:sz w:val="22"/>
          <w:szCs w:val="22"/>
        </w:rPr>
        <w:t>Teoria do</w:t>
      </w:r>
      <w:r>
        <w:rPr>
          <w:rFonts w:ascii="Palatino Linotype" w:hAnsi="Palatino Linotype"/>
          <w:sz w:val="22"/>
          <w:szCs w:val="22"/>
        </w:rPr>
        <w:t>s direitos fundamentais</w:t>
      </w:r>
      <w:r w:rsidRPr="00FB32A4">
        <w:rPr>
          <w:rFonts w:ascii="Palatino Linotype" w:hAnsi="Palatino Linotype"/>
          <w:sz w:val="22"/>
          <w:szCs w:val="22"/>
        </w:rPr>
        <w:t xml:space="preserve">. Trad. Virgílio Afonso da Silva. São Paulo: Malheiros, 2011, p. 116). Sua operacionalização é metodologicamente desdobrada em três etapas ou fases: adequação, necessidade e a proporcionalidade em sentido estrito. </w:t>
      </w:r>
    </w:p>
    <w:p w:rsidR="00FB32A4" w:rsidRPr="00417000" w:rsidRDefault="00FB32A4" w:rsidP="00FB32A4">
      <w:pPr>
        <w:pStyle w:val="NormalWeb"/>
        <w:spacing w:after="0" w:line="264" w:lineRule="auto"/>
        <w:ind w:left="2268"/>
        <w:jc w:val="both"/>
        <w:rPr>
          <w:rFonts w:ascii="Palatino Linotype" w:hAnsi="Palatino Linotype"/>
          <w:sz w:val="22"/>
          <w:szCs w:val="22"/>
        </w:rPr>
      </w:pPr>
      <w:r w:rsidRPr="00FB32A4">
        <w:rPr>
          <w:rFonts w:ascii="Palatino Linotype" w:hAnsi="Palatino Linotype"/>
          <w:sz w:val="22"/>
          <w:szCs w:val="22"/>
        </w:rPr>
        <w:t xml:space="preserve">Na primeira etapa, a análise de adequação investiga-se a aptidão da medida estatal para atingir a finalidade almejada. Trata-se, aqui, de um cotejo entre meio e fim, a exigir que a medida eleita seja idônea à promoção do objetivo visado. Na segunda etapa, a análise da necessidade do ato estatal procede a um contraste entre meios alternativos de promover o fim buscado. O objetivo é perquirir a existência (ou não) de meios substitutos àquele originalmente escolhido pelo Estado e, em seguida, compará-los tanto em relação ao grau de adequação à finalidade pública, quanto ao impacto sobre bens jurídicos contrapostos. Por fim, na última etapa do itinerário metodológico, a proporcionalidade em sentido estrito impõe a comparação dos custos e dos benefícios da medida restritiva. Consoante a lição de Robert Alexy: quanto mais alto é o grau de não-cumprimento ou restrição de um </w:t>
      </w:r>
      <w:r w:rsidRPr="00FB32A4">
        <w:rPr>
          <w:rFonts w:ascii="Palatino Linotype" w:hAnsi="Palatino Linotype"/>
          <w:sz w:val="22"/>
          <w:szCs w:val="22"/>
        </w:rPr>
        <w:lastRenderedPageBreak/>
        <w:t xml:space="preserve">princípio, tanto maior deve ser a importância do cumprimento do outro (ALEXY, Robert. </w:t>
      </w:r>
      <w:r w:rsidRPr="00417000">
        <w:rPr>
          <w:rFonts w:ascii="Palatino Linotype" w:hAnsi="Palatino Linotype"/>
          <w:sz w:val="22"/>
          <w:szCs w:val="22"/>
        </w:rPr>
        <w:t>On balancing and subsumption: a structural comparison. Ratio Juris , vol. 16, nº 14, Oxford, dezembro-2003, p. 436 - tradução livre do original).”</w:t>
      </w:r>
    </w:p>
    <w:p w:rsidR="00417000" w:rsidRDefault="00417000"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Sendo assim, uma vez evidenciada a captura regulatória, legitima-se o Judiciário</w:t>
      </w:r>
      <w:r w:rsidR="00112016">
        <w:rPr>
          <w:rFonts w:ascii="Palatino Linotype" w:eastAsia="Times New Roman" w:hAnsi="Palatino Linotype"/>
          <w:sz w:val="26"/>
          <w:szCs w:val="26"/>
          <w:lang w:eastAsia="pt-BR"/>
        </w:rPr>
        <w:t xml:space="preserve"> a rever a medida suspeita</w:t>
      </w:r>
      <w:r>
        <w:rPr>
          <w:rFonts w:ascii="Palatino Linotype" w:eastAsia="Times New Roman" w:hAnsi="Palatino Linotype"/>
          <w:sz w:val="26"/>
          <w:szCs w:val="26"/>
          <w:lang w:eastAsia="pt-BR"/>
        </w:rPr>
        <w:t>, como instituição estruturada para decidir com independência em relação a pressões políticas, a fim de evitar que a democracia se torne um regime serviente a privilégios de grupos organizados.</w:t>
      </w:r>
      <w:r w:rsidR="007D0937">
        <w:rPr>
          <w:rFonts w:ascii="Palatino Linotype" w:eastAsia="Times New Roman" w:hAnsi="Palatino Linotype"/>
          <w:sz w:val="26"/>
          <w:szCs w:val="26"/>
          <w:lang w:eastAsia="pt-BR"/>
        </w:rPr>
        <w:t xml:space="preserve"> Vale notar que, no caso concreto, a própria Câmara Municipal de Fortaleza/CE justificou a norma impugnada com base na “</w:t>
      </w:r>
      <w:r w:rsidR="007D0937" w:rsidRPr="007D0937">
        <w:rPr>
          <w:rFonts w:ascii="Palatino Linotype" w:eastAsia="Times New Roman" w:hAnsi="Palatino Linotype"/>
          <w:i/>
          <w:sz w:val="26"/>
          <w:szCs w:val="26"/>
          <w:lang w:eastAsia="pt-BR"/>
        </w:rPr>
        <w:t>necessidade de proteção quanto ao sistema e aos profissionais do setor</w:t>
      </w:r>
      <w:r w:rsidR="007D0937">
        <w:rPr>
          <w:rFonts w:ascii="Palatino Linotype" w:eastAsia="Times New Roman" w:hAnsi="Palatino Linotype"/>
          <w:sz w:val="26"/>
          <w:szCs w:val="26"/>
          <w:lang w:eastAsia="pt-BR"/>
        </w:rPr>
        <w:t>”, tornando cristalina a finalidade da lei, qual seja: preservar a renda e a restrição de mercado em favor de determinados agentes profissionais.</w:t>
      </w:r>
    </w:p>
    <w:p w:rsidR="003F1EB6" w:rsidRDefault="003F1EB6" w:rsidP="00211B8E">
      <w:pPr>
        <w:spacing w:before="100" w:beforeAutospacing="1" w:after="0" w:line="264" w:lineRule="auto"/>
        <w:ind w:firstLine="567"/>
        <w:rPr>
          <w:rFonts w:ascii="Palatino Linotype" w:eastAsia="Times New Roman" w:hAnsi="Palatino Linotype"/>
          <w:sz w:val="26"/>
          <w:szCs w:val="26"/>
          <w:lang w:eastAsia="pt-BR"/>
        </w:rPr>
      </w:pPr>
      <w:r w:rsidRPr="003F1EB6">
        <w:rPr>
          <w:rFonts w:ascii="Palatino Linotype" w:eastAsia="Times New Roman" w:hAnsi="Palatino Linotype"/>
          <w:sz w:val="26"/>
          <w:szCs w:val="26"/>
          <w:lang w:eastAsia="pt-BR"/>
        </w:rPr>
        <w:t xml:space="preserve">Nem se alegue que </w:t>
      </w:r>
      <w:r>
        <w:rPr>
          <w:rFonts w:ascii="Palatino Linotype" w:eastAsia="Times New Roman" w:hAnsi="Palatino Linotype"/>
          <w:sz w:val="26"/>
          <w:szCs w:val="26"/>
          <w:lang w:eastAsia="pt-BR"/>
        </w:rPr>
        <w:t xml:space="preserve">a revisão judicial, nessa hipótese, compromete a separação dos Poderes. A visão romantizada de reguladores e juízes vem sendo absolutamente abandonada pelos especialistas na matéria. A afirmação de que a expertise dos órgãos reguladores, em contraposição à formação generalista de magistrados, garantiria àqueles um amplo campo de atuação infenso ao controle jurisdicional já não resiste à análise mais atenta das nuances que envolvem </w:t>
      </w:r>
      <w:r w:rsidR="00B83430">
        <w:rPr>
          <w:rFonts w:ascii="Palatino Linotype" w:eastAsia="Times New Roman" w:hAnsi="Palatino Linotype"/>
          <w:sz w:val="26"/>
          <w:szCs w:val="26"/>
          <w:lang w:eastAsia="pt-BR"/>
        </w:rPr>
        <w:t>ess</w:t>
      </w:r>
      <w:r>
        <w:rPr>
          <w:rFonts w:ascii="Palatino Linotype" w:eastAsia="Times New Roman" w:hAnsi="Palatino Linotype"/>
          <w:sz w:val="26"/>
          <w:szCs w:val="26"/>
          <w:lang w:eastAsia="pt-BR"/>
        </w:rPr>
        <w:t xml:space="preserve">a especial aplicação dos </w:t>
      </w:r>
      <w:r>
        <w:rPr>
          <w:rFonts w:ascii="Palatino Linotype" w:eastAsia="Times New Roman" w:hAnsi="Palatino Linotype"/>
          <w:i/>
          <w:sz w:val="26"/>
          <w:szCs w:val="26"/>
          <w:lang w:eastAsia="pt-BR"/>
        </w:rPr>
        <w:t>checks and balances</w:t>
      </w:r>
      <w:r>
        <w:rPr>
          <w:rFonts w:ascii="Palatino Linotype" w:eastAsia="Times New Roman" w:hAnsi="Palatino Linotype"/>
          <w:sz w:val="26"/>
          <w:szCs w:val="26"/>
          <w:lang w:eastAsia="pt-BR"/>
        </w:rPr>
        <w:t>.</w:t>
      </w:r>
      <w:r w:rsidR="00B83430">
        <w:rPr>
          <w:rFonts w:ascii="Palatino Linotype" w:eastAsia="Times New Roman" w:hAnsi="Palatino Linotype"/>
          <w:sz w:val="26"/>
          <w:szCs w:val="26"/>
          <w:lang w:eastAsia="pt-BR"/>
        </w:rPr>
        <w:t xml:space="preserve"> Nesse sentido se inclina a recentíssima teoria regulatória</w:t>
      </w:r>
      <w:r w:rsidR="006A6849">
        <w:rPr>
          <w:rFonts w:ascii="Palatino Linotype" w:eastAsia="Times New Roman" w:hAnsi="Palatino Linotype"/>
          <w:sz w:val="26"/>
          <w:szCs w:val="26"/>
          <w:lang w:eastAsia="pt-BR"/>
        </w:rPr>
        <w:t xml:space="preserve"> do </w:t>
      </w:r>
      <w:r w:rsidR="006A6849">
        <w:rPr>
          <w:rFonts w:ascii="Palatino Linotype" w:eastAsia="Times New Roman" w:hAnsi="Palatino Linotype"/>
          <w:i/>
          <w:sz w:val="26"/>
          <w:szCs w:val="26"/>
          <w:lang w:eastAsia="pt-BR"/>
        </w:rPr>
        <w:t>enforcement</w:t>
      </w:r>
      <w:r w:rsidR="006A6849">
        <w:rPr>
          <w:rFonts w:ascii="Palatino Linotype" w:eastAsia="Times New Roman" w:hAnsi="Palatino Linotype"/>
          <w:sz w:val="26"/>
          <w:szCs w:val="26"/>
          <w:lang w:eastAsia="pt-BR"/>
        </w:rPr>
        <w:t xml:space="preserve">, </w:t>
      </w:r>
      <w:r w:rsidR="00247CE7">
        <w:rPr>
          <w:rFonts w:ascii="Palatino Linotype" w:eastAsia="Times New Roman" w:hAnsi="Palatino Linotype"/>
          <w:sz w:val="26"/>
          <w:szCs w:val="26"/>
          <w:lang w:eastAsia="pt-BR"/>
        </w:rPr>
        <w:t xml:space="preserve">que considera o critério da eficiência como norte para a distribuição de métodos para efetivação de padrões socialmente desejáveis de conduta entre atores privados, o Judiciário e o governo, </w:t>
      </w:r>
      <w:r w:rsidR="006A6849">
        <w:rPr>
          <w:rFonts w:ascii="Palatino Linotype" w:eastAsia="Times New Roman" w:hAnsi="Palatino Linotype"/>
          <w:sz w:val="26"/>
          <w:szCs w:val="26"/>
          <w:lang w:eastAsia="pt-BR"/>
        </w:rPr>
        <w:t>conforme esclarece o professor de economia da universidade de Harvard Andrei Shleifer:</w:t>
      </w:r>
    </w:p>
    <w:p w:rsidR="006A6849" w:rsidRPr="006A6849" w:rsidRDefault="006A6849" w:rsidP="006A6849">
      <w:pPr>
        <w:spacing w:before="100" w:beforeAutospacing="1" w:after="0" w:line="264" w:lineRule="auto"/>
        <w:ind w:left="2268" w:firstLine="0"/>
        <w:rPr>
          <w:rFonts w:ascii="Palatino Linotype" w:eastAsia="Times New Roman" w:hAnsi="Palatino Linotype"/>
          <w:sz w:val="22"/>
          <w:lang w:eastAsia="pt-BR"/>
        </w:rPr>
      </w:pPr>
      <w:r w:rsidRPr="006A6849">
        <w:rPr>
          <w:rFonts w:ascii="Palatino Linotype" w:eastAsia="Times New Roman" w:hAnsi="Palatino Linotype"/>
          <w:sz w:val="22"/>
          <w:lang w:eastAsia="pt-BR"/>
        </w:rPr>
        <w:t xml:space="preserve">“A premissa básica da teoria regulatória do </w:t>
      </w:r>
      <w:r w:rsidRPr="006A6849">
        <w:rPr>
          <w:rFonts w:ascii="Palatino Linotype" w:eastAsia="Times New Roman" w:hAnsi="Palatino Linotype"/>
          <w:i/>
          <w:sz w:val="22"/>
          <w:lang w:eastAsia="pt-BR"/>
        </w:rPr>
        <w:t>enforcement</w:t>
      </w:r>
      <w:r w:rsidRPr="006A6849">
        <w:rPr>
          <w:rFonts w:ascii="Palatino Linotype" w:eastAsia="Times New Roman" w:hAnsi="Palatino Linotype"/>
          <w:sz w:val="22"/>
          <w:lang w:eastAsia="pt-BR"/>
        </w:rPr>
        <w:t xml:space="preserve"> é que todas essas </w:t>
      </w:r>
      <w:r>
        <w:rPr>
          <w:rFonts w:ascii="Palatino Linotype" w:eastAsia="Times New Roman" w:hAnsi="Palatino Linotype"/>
          <w:sz w:val="22"/>
          <w:lang w:eastAsia="pt-BR"/>
        </w:rPr>
        <w:t xml:space="preserve">estratégias de controle social dos negócios são imperfeitas, e que o desenho institucional ótimo envolve uma escolha entre alternativas imperfeitas. A teoria do </w:t>
      </w:r>
      <w:r>
        <w:rPr>
          <w:rFonts w:ascii="Palatino Linotype" w:eastAsia="Times New Roman" w:hAnsi="Palatino Linotype"/>
          <w:i/>
          <w:sz w:val="22"/>
          <w:lang w:eastAsia="pt-BR"/>
        </w:rPr>
        <w:t>enforcement</w:t>
      </w:r>
      <w:r>
        <w:rPr>
          <w:rFonts w:ascii="Palatino Linotype" w:eastAsia="Times New Roman" w:hAnsi="Palatino Linotype"/>
          <w:sz w:val="22"/>
          <w:lang w:eastAsia="pt-BR"/>
        </w:rPr>
        <w:t xml:space="preserve"> reconhece especificamente um </w:t>
      </w:r>
      <w:r>
        <w:rPr>
          <w:rFonts w:ascii="Palatino Linotype" w:eastAsia="Times New Roman" w:hAnsi="Palatino Linotype"/>
          <w:i/>
          <w:sz w:val="22"/>
          <w:lang w:eastAsia="pt-BR"/>
        </w:rPr>
        <w:t>trade-off</w:t>
      </w:r>
      <w:r>
        <w:rPr>
          <w:rFonts w:ascii="Palatino Linotype" w:eastAsia="Times New Roman" w:hAnsi="Palatino Linotype"/>
          <w:sz w:val="22"/>
          <w:lang w:eastAsia="pt-BR"/>
        </w:rPr>
        <w:t xml:space="preserve"> básico entre dos custos sociais de cada instituição: desordem e ditadura. Desordem se refere à habilidade de agentes privados causarem danos a outros – roubar, praticar cobranças abusivas, machucar, enganar, impor custos externos </w:t>
      </w:r>
      <w:r>
        <w:rPr>
          <w:rFonts w:ascii="Palatino Linotype" w:eastAsia="Times New Roman" w:hAnsi="Palatino Linotype"/>
          <w:i/>
          <w:sz w:val="22"/>
          <w:lang w:eastAsia="pt-BR"/>
        </w:rPr>
        <w:t>etc</w:t>
      </w:r>
      <w:r>
        <w:rPr>
          <w:rFonts w:ascii="Palatino Linotype" w:eastAsia="Times New Roman" w:hAnsi="Palatino Linotype"/>
          <w:sz w:val="22"/>
          <w:lang w:eastAsia="pt-BR"/>
        </w:rPr>
        <w:t xml:space="preserve">. Ditadura se refere à habilidade do governo e </w:t>
      </w:r>
      <w:r>
        <w:rPr>
          <w:rFonts w:ascii="Palatino Linotype" w:eastAsia="Times New Roman" w:hAnsi="Palatino Linotype"/>
          <w:sz w:val="22"/>
          <w:lang w:eastAsia="pt-BR"/>
        </w:rPr>
        <w:lastRenderedPageBreak/>
        <w:t xml:space="preserve">de seus agentes de impor esses custos em agentes privados. À medida em que nos movemos de ordenamentos puramente privados, para a litigância privada, para a regulação, para o domínio público, os poderes do governo aumentam e aqueles dos agentes privados diminuem. Os custos sociais da desordem diminuem enquanto aqueles da ditadura aumentam. (...) Quando a disciplina de mercado pode controlar com sucesso a desordem e evitar a anarquia Hobbesiana, </w:t>
      </w:r>
      <w:r w:rsidR="00247CE7">
        <w:rPr>
          <w:rFonts w:ascii="Palatino Linotype" w:eastAsia="Times New Roman" w:hAnsi="Palatino Linotype"/>
          <w:sz w:val="22"/>
          <w:lang w:eastAsia="pt-BR"/>
        </w:rPr>
        <w:t>ela é a melhor abordagem porque produz os menores custos sociais em relação à ditadura. Qualquer argumento para a intervenção pública deve se basear crucialmente no presuntivo fracasso da disciplina de mercado para controlar a desordem.</w:t>
      </w:r>
      <w:r w:rsidRPr="006A6849">
        <w:rPr>
          <w:rFonts w:ascii="Palatino Linotype" w:eastAsia="Times New Roman" w:hAnsi="Palatino Linotype"/>
          <w:sz w:val="22"/>
          <w:lang w:eastAsia="pt-BR"/>
        </w:rPr>
        <w:t>”</w:t>
      </w:r>
    </w:p>
    <w:p w:rsidR="006A6849" w:rsidRPr="006A6849" w:rsidRDefault="006A6849" w:rsidP="006A6849">
      <w:pPr>
        <w:spacing w:before="100" w:beforeAutospacing="1" w:after="0" w:line="264" w:lineRule="auto"/>
        <w:ind w:left="2268" w:firstLine="0"/>
        <w:rPr>
          <w:rFonts w:ascii="Palatino Linotype" w:eastAsia="Times New Roman" w:hAnsi="Palatino Linotype"/>
          <w:sz w:val="22"/>
          <w:lang w:val="en-US" w:eastAsia="pt-BR"/>
        </w:rPr>
      </w:pPr>
      <w:r>
        <w:rPr>
          <w:rFonts w:ascii="Palatino Linotype" w:eastAsia="Times New Roman" w:hAnsi="Palatino Linotype"/>
          <w:sz w:val="22"/>
          <w:lang w:val="en-US" w:eastAsia="pt-BR"/>
        </w:rPr>
        <w:t>(</w:t>
      </w:r>
      <w:r w:rsidR="003D45FE">
        <w:rPr>
          <w:rFonts w:ascii="Palatino Linotype" w:eastAsia="Times New Roman" w:hAnsi="Palatino Linotype"/>
          <w:sz w:val="22"/>
          <w:lang w:val="en-US" w:eastAsia="pt-BR"/>
        </w:rPr>
        <w:t xml:space="preserve">SHLEIFER, Andrei. Understanding Regulation. </w:t>
      </w:r>
      <w:r w:rsidR="003D45FE" w:rsidRPr="003D45FE">
        <w:rPr>
          <w:rFonts w:ascii="Palatino Linotype" w:eastAsia="Times New Roman" w:hAnsi="Palatino Linotype"/>
          <w:i/>
          <w:sz w:val="22"/>
          <w:lang w:val="en-US" w:eastAsia="pt-BR"/>
        </w:rPr>
        <w:t>In</w:t>
      </w:r>
      <w:r w:rsidR="003D45FE">
        <w:rPr>
          <w:rFonts w:ascii="Palatino Linotype" w:eastAsia="Times New Roman" w:hAnsi="Palatino Linotype"/>
          <w:sz w:val="22"/>
          <w:lang w:val="en-US" w:eastAsia="pt-BR"/>
        </w:rPr>
        <w:t xml:space="preserve">: </w:t>
      </w:r>
      <w:r w:rsidR="003D45FE" w:rsidRPr="003D45FE">
        <w:rPr>
          <w:rFonts w:ascii="Palatino Linotype" w:eastAsia="Times New Roman" w:hAnsi="Palatino Linotype"/>
          <w:i/>
          <w:sz w:val="22"/>
          <w:lang w:val="en-US" w:eastAsia="pt-BR"/>
        </w:rPr>
        <w:t>European Financial Management</w:t>
      </w:r>
      <w:r w:rsidR="003D45FE" w:rsidRPr="003D45FE">
        <w:rPr>
          <w:rFonts w:ascii="Palatino Linotype" w:eastAsia="Times New Roman" w:hAnsi="Palatino Linotype"/>
          <w:sz w:val="22"/>
          <w:lang w:val="en-US" w:eastAsia="pt-BR"/>
        </w:rPr>
        <w:t>, Vol. 11, N</w:t>
      </w:r>
      <w:r w:rsidR="003D45FE">
        <w:rPr>
          <w:rFonts w:ascii="Palatino Linotype" w:eastAsia="Times New Roman" w:hAnsi="Palatino Linotype"/>
          <w:sz w:val="22"/>
          <w:lang w:val="en-US" w:eastAsia="pt-BR"/>
        </w:rPr>
        <w:t>º</w:t>
      </w:r>
      <w:r w:rsidR="003D45FE" w:rsidRPr="003D45FE">
        <w:rPr>
          <w:rFonts w:ascii="Palatino Linotype" w:eastAsia="Times New Roman" w:hAnsi="Palatino Linotype"/>
          <w:sz w:val="22"/>
          <w:lang w:val="en-US" w:eastAsia="pt-BR"/>
        </w:rPr>
        <w:t>. 4, 2005</w:t>
      </w:r>
      <w:r w:rsidR="003D45FE">
        <w:rPr>
          <w:rFonts w:ascii="Palatino Linotype" w:eastAsia="Times New Roman" w:hAnsi="Palatino Linotype"/>
          <w:sz w:val="22"/>
          <w:lang w:val="en-US" w:eastAsia="pt-BR"/>
        </w:rPr>
        <w:t xml:space="preserve">. p. 443-444. </w:t>
      </w:r>
      <w:r>
        <w:rPr>
          <w:rFonts w:ascii="Palatino Linotype" w:eastAsia="Times New Roman" w:hAnsi="Palatino Linotype"/>
          <w:sz w:val="22"/>
          <w:lang w:val="en-US" w:eastAsia="pt-BR"/>
        </w:rPr>
        <w:t xml:space="preserve">No original: </w:t>
      </w:r>
      <w:r w:rsidRPr="006A6849">
        <w:rPr>
          <w:rFonts w:ascii="Palatino Linotype" w:eastAsia="Times New Roman" w:hAnsi="Palatino Linotype"/>
          <w:sz w:val="22"/>
          <w:lang w:val="en-US" w:eastAsia="pt-BR"/>
        </w:rPr>
        <w:t>“The basic premise of the enforcement theory of regulation is that all of these strategies for social control of business are imperfect, and that optimal institutional design involves a choice among these imperfect alternatives. The enforcement theory specifically recognises a basic trade-off between two social costs of each institution: disorder and dictatorship. Disorder refers to the ability of private agents to harm others – to steal, overcharge, injure, cheat, impose external costs, etc. Dictatorship refers to the ability of the government and its officials to impose such costs on private agents. As we move from private orderings to private litigation to regulation to public ownership, the powers of the government rise, and those of private agents fall. The social losses from disorder decline as those from dictatorship increase.</w:t>
      </w:r>
      <w:r>
        <w:rPr>
          <w:rFonts w:ascii="Palatino Linotype" w:eastAsia="Times New Roman" w:hAnsi="Palatino Linotype"/>
          <w:sz w:val="22"/>
          <w:lang w:val="en-US" w:eastAsia="pt-BR"/>
        </w:rPr>
        <w:t xml:space="preserve"> (…) </w:t>
      </w:r>
      <w:r w:rsidRPr="006A6849">
        <w:rPr>
          <w:rFonts w:ascii="Palatino Linotype" w:eastAsia="Times New Roman" w:hAnsi="Palatino Linotype"/>
          <w:sz w:val="22"/>
          <w:lang w:val="en-US" w:eastAsia="pt-BR"/>
        </w:rPr>
        <w:t>When market discipline can successfully control disorder and avoid Hobbesian</w:t>
      </w:r>
      <w:r>
        <w:rPr>
          <w:rFonts w:ascii="Palatino Linotype" w:eastAsia="Times New Roman" w:hAnsi="Palatino Linotype"/>
          <w:sz w:val="22"/>
          <w:lang w:val="en-US" w:eastAsia="pt-BR"/>
        </w:rPr>
        <w:t xml:space="preserve"> </w:t>
      </w:r>
      <w:r w:rsidRPr="006A6849">
        <w:rPr>
          <w:rFonts w:ascii="Palatino Linotype" w:eastAsia="Times New Roman" w:hAnsi="Palatino Linotype"/>
          <w:sz w:val="22"/>
          <w:lang w:val="en-US" w:eastAsia="pt-BR"/>
        </w:rPr>
        <w:t>anarchy, it is the best approach because it has the lowest social costs of dictatorship.</w:t>
      </w:r>
      <w:r>
        <w:rPr>
          <w:rFonts w:ascii="Palatino Linotype" w:eastAsia="Times New Roman" w:hAnsi="Palatino Linotype"/>
          <w:sz w:val="22"/>
          <w:lang w:val="en-US" w:eastAsia="pt-BR"/>
        </w:rPr>
        <w:t xml:space="preserve"> </w:t>
      </w:r>
      <w:r w:rsidRPr="006A6849">
        <w:rPr>
          <w:rFonts w:ascii="Palatino Linotype" w:eastAsia="Times New Roman" w:hAnsi="Palatino Linotype"/>
          <w:sz w:val="22"/>
          <w:lang w:val="en-US" w:eastAsia="pt-BR"/>
        </w:rPr>
        <w:t>Any case for public intervention relies crucially on the presumptive failure of market</w:t>
      </w:r>
      <w:r>
        <w:rPr>
          <w:rFonts w:ascii="Palatino Linotype" w:eastAsia="Times New Roman" w:hAnsi="Palatino Linotype"/>
          <w:sz w:val="22"/>
          <w:lang w:val="en-US" w:eastAsia="pt-BR"/>
        </w:rPr>
        <w:t xml:space="preserve"> </w:t>
      </w:r>
      <w:r w:rsidRPr="006A6849">
        <w:rPr>
          <w:rFonts w:ascii="Palatino Linotype" w:eastAsia="Times New Roman" w:hAnsi="Palatino Linotype"/>
          <w:sz w:val="22"/>
          <w:lang w:val="en-US" w:eastAsia="pt-BR"/>
        </w:rPr>
        <w:t>discipline to control disorder”</w:t>
      </w:r>
      <w:r w:rsidR="00247CE7">
        <w:rPr>
          <w:rFonts w:ascii="Palatino Linotype" w:eastAsia="Times New Roman" w:hAnsi="Palatino Linotype"/>
          <w:sz w:val="22"/>
          <w:lang w:val="en-US" w:eastAsia="pt-BR"/>
        </w:rPr>
        <w:t>)</w:t>
      </w:r>
    </w:p>
    <w:p w:rsidR="003D45FE" w:rsidRPr="00613A83" w:rsidRDefault="00247CE7" w:rsidP="003D45FE">
      <w:pPr>
        <w:spacing w:before="100" w:beforeAutospacing="1" w:after="0" w:line="264" w:lineRule="auto"/>
        <w:ind w:firstLine="567"/>
        <w:rPr>
          <w:rFonts w:ascii="Palatino Linotype" w:eastAsia="Times New Roman" w:hAnsi="Palatino Linotype"/>
          <w:sz w:val="26"/>
          <w:szCs w:val="26"/>
          <w:lang w:eastAsia="pt-BR"/>
        </w:rPr>
      </w:pPr>
      <w:r w:rsidRPr="00247CE7">
        <w:rPr>
          <w:rFonts w:ascii="Palatino Linotype" w:eastAsia="Times New Roman" w:hAnsi="Palatino Linotype"/>
          <w:sz w:val="26"/>
          <w:szCs w:val="26"/>
          <w:lang w:eastAsia="pt-BR"/>
        </w:rPr>
        <w:t xml:space="preserve">Para o que interessa </w:t>
      </w:r>
      <w:r>
        <w:rPr>
          <w:rFonts w:ascii="Palatino Linotype" w:eastAsia="Times New Roman" w:hAnsi="Palatino Linotype"/>
          <w:sz w:val="26"/>
          <w:szCs w:val="26"/>
          <w:lang w:eastAsia="pt-BR"/>
        </w:rPr>
        <w:t>de forma mais específica ao caso concreto, a teoria em comento assevera inexistir justificativa para a regulação quando est</w:t>
      </w:r>
      <w:r w:rsidR="003D45FE">
        <w:rPr>
          <w:rFonts w:ascii="Palatino Linotype" w:eastAsia="Times New Roman" w:hAnsi="Palatino Linotype"/>
          <w:sz w:val="26"/>
          <w:szCs w:val="26"/>
          <w:lang w:eastAsia="pt-BR"/>
        </w:rPr>
        <w:t>a</w:t>
      </w:r>
      <w:r>
        <w:rPr>
          <w:rFonts w:ascii="Palatino Linotype" w:eastAsia="Times New Roman" w:hAnsi="Palatino Linotype"/>
          <w:sz w:val="26"/>
          <w:szCs w:val="26"/>
          <w:lang w:eastAsia="pt-BR"/>
        </w:rPr>
        <w:t xml:space="preserve"> implicar restrição de entrada para</w:t>
      </w:r>
      <w:r w:rsidR="003D45FE">
        <w:rPr>
          <w:rFonts w:ascii="Palatino Linotype" w:eastAsia="Times New Roman" w:hAnsi="Palatino Linotype"/>
          <w:sz w:val="26"/>
          <w:szCs w:val="26"/>
          <w:lang w:eastAsia="pt-BR"/>
        </w:rPr>
        <w:t xml:space="preserve"> novos agentes por meio de licenciamento estatal. </w:t>
      </w:r>
      <w:r w:rsidR="003D45FE" w:rsidRPr="00613A83">
        <w:rPr>
          <w:rFonts w:ascii="Palatino Linotype" w:eastAsia="Times New Roman" w:hAnsi="Palatino Linotype"/>
          <w:sz w:val="26"/>
          <w:szCs w:val="26"/>
          <w:lang w:eastAsia="pt-BR"/>
        </w:rPr>
        <w:t>Nesse sentido, cumpre a referência às seguintes lições</w:t>
      </w:r>
      <w:r w:rsidR="00613A83" w:rsidRPr="00613A83">
        <w:rPr>
          <w:rFonts w:ascii="Palatino Linotype" w:eastAsia="Times New Roman" w:hAnsi="Palatino Linotype"/>
          <w:sz w:val="26"/>
          <w:szCs w:val="26"/>
          <w:lang w:eastAsia="pt-BR"/>
        </w:rPr>
        <w:t xml:space="preserve"> </w:t>
      </w:r>
      <w:r w:rsidR="00613A83">
        <w:rPr>
          <w:rFonts w:ascii="Palatino Linotype" w:eastAsia="Times New Roman" w:hAnsi="Palatino Linotype"/>
          <w:sz w:val="26"/>
          <w:szCs w:val="26"/>
          <w:lang w:eastAsia="pt-BR"/>
        </w:rPr>
        <w:t>de Shleifer</w:t>
      </w:r>
      <w:r w:rsidR="003D45FE" w:rsidRPr="00613A83">
        <w:rPr>
          <w:rFonts w:ascii="Palatino Linotype" w:eastAsia="Times New Roman" w:hAnsi="Palatino Linotype"/>
          <w:sz w:val="26"/>
          <w:szCs w:val="26"/>
          <w:lang w:eastAsia="pt-BR"/>
        </w:rPr>
        <w:t>:</w:t>
      </w:r>
    </w:p>
    <w:p w:rsidR="003D45FE" w:rsidRPr="003D45FE" w:rsidRDefault="003D45FE" w:rsidP="003D45FE">
      <w:pPr>
        <w:spacing w:before="100" w:beforeAutospacing="1" w:after="0" w:line="264" w:lineRule="auto"/>
        <w:ind w:left="2268" w:firstLine="0"/>
        <w:rPr>
          <w:rFonts w:ascii="Palatino Linotype" w:eastAsia="Times New Roman" w:hAnsi="Palatino Linotype"/>
          <w:sz w:val="22"/>
          <w:lang w:eastAsia="pt-BR"/>
        </w:rPr>
      </w:pPr>
      <w:r w:rsidRPr="003D45FE">
        <w:rPr>
          <w:rFonts w:ascii="Palatino Linotype" w:eastAsia="Times New Roman" w:hAnsi="Palatino Linotype"/>
          <w:sz w:val="22"/>
          <w:lang w:eastAsia="pt-BR"/>
        </w:rPr>
        <w:lastRenderedPageBreak/>
        <w:t xml:space="preserve">“Em muitos casos, este argumento pela efetividade da disciplina de Mercado </w:t>
      </w:r>
      <w:r>
        <w:rPr>
          <w:rFonts w:ascii="Palatino Linotype" w:eastAsia="Times New Roman" w:hAnsi="Palatino Linotype"/>
          <w:sz w:val="22"/>
          <w:lang w:eastAsia="pt-BR"/>
        </w:rPr>
        <w:t xml:space="preserve">é poderoso. Considere-se a regulação de entrada: a restrição na entrada de novos empreendedores por meio de licenciamento e permissões. Na medida em que empresas entrantes são pequenas, e dado que qualquer falha em fornecer produtos de qualidade seria quase imediatamente detectada e penalizada pelos consumidores, </w:t>
      </w:r>
      <w:r w:rsidRPr="000D6C70">
        <w:rPr>
          <w:rFonts w:ascii="Palatino Linotype" w:eastAsia="Times New Roman" w:hAnsi="Palatino Linotype"/>
          <w:b/>
          <w:sz w:val="22"/>
          <w:u w:val="single"/>
          <w:lang w:eastAsia="pt-BR"/>
        </w:rPr>
        <w:t xml:space="preserve">não resta claro o motivo pelo qual a qualidade dos empreendedores ou de suas empresas deveria ser regulada </w:t>
      </w:r>
      <w:r w:rsidR="00640560" w:rsidRPr="000D6C70">
        <w:rPr>
          <w:rFonts w:ascii="Palatino Linotype" w:eastAsia="Times New Roman" w:hAnsi="Palatino Linotype"/>
          <w:b/>
          <w:sz w:val="22"/>
          <w:u w:val="single"/>
          <w:lang w:eastAsia="pt-BR"/>
        </w:rPr>
        <w:t xml:space="preserve">na fase de </w:t>
      </w:r>
      <w:r w:rsidRPr="000D6C70">
        <w:rPr>
          <w:rFonts w:ascii="Palatino Linotype" w:eastAsia="Times New Roman" w:hAnsi="Palatino Linotype"/>
          <w:b/>
          <w:sz w:val="22"/>
          <w:u w:val="single"/>
          <w:lang w:eastAsia="pt-BR"/>
        </w:rPr>
        <w:t>entrada</w:t>
      </w:r>
      <w:r>
        <w:rPr>
          <w:rFonts w:ascii="Palatino Linotype" w:eastAsia="Times New Roman" w:hAnsi="Palatino Linotype"/>
          <w:sz w:val="22"/>
          <w:lang w:eastAsia="pt-BR"/>
        </w:rPr>
        <w:t>.</w:t>
      </w:r>
      <w:r w:rsidRPr="003D45FE">
        <w:rPr>
          <w:rFonts w:ascii="Palatino Linotype" w:eastAsia="Times New Roman" w:hAnsi="Palatino Linotype"/>
          <w:sz w:val="22"/>
          <w:lang w:eastAsia="pt-BR"/>
        </w:rPr>
        <w:t>”</w:t>
      </w:r>
    </w:p>
    <w:p w:rsidR="003D45FE" w:rsidRDefault="003D45FE" w:rsidP="003D45FE">
      <w:pPr>
        <w:spacing w:before="100" w:beforeAutospacing="1" w:after="0" w:line="264" w:lineRule="auto"/>
        <w:ind w:left="2268" w:firstLine="0"/>
        <w:rPr>
          <w:rFonts w:ascii="Palatino Linotype" w:eastAsia="Times New Roman" w:hAnsi="Palatino Linotype"/>
          <w:sz w:val="22"/>
          <w:lang w:val="en-US" w:eastAsia="pt-BR"/>
        </w:rPr>
      </w:pPr>
      <w:r w:rsidRPr="003D45FE">
        <w:rPr>
          <w:rFonts w:ascii="Palatino Linotype" w:eastAsia="Times New Roman" w:hAnsi="Palatino Linotype"/>
          <w:sz w:val="22"/>
          <w:lang w:val="en-US" w:eastAsia="pt-BR"/>
        </w:rPr>
        <w:t xml:space="preserve">(SHLEIFER, Andrei. Understanding Regulation. </w:t>
      </w:r>
      <w:r w:rsidRPr="003D45FE">
        <w:rPr>
          <w:rFonts w:ascii="Palatino Linotype" w:eastAsia="Times New Roman" w:hAnsi="Palatino Linotype"/>
          <w:i/>
          <w:sz w:val="22"/>
          <w:lang w:val="en-US" w:eastAsia="pt-BR"/>
        </w:rPr>
        <w:t>In</w:t>
      </w:r>
      <w:r w:rsidRPr="003D45FE">
        <w:rPr>
          <w:rFonts w:ascii="Palatino Linotype" w:eastAsia="Times New Roman" w:hAnsi="Palatino Linotype"/>
          <w:sz w:val="22"/>
          <w:lang w:val="en-US" w:eastAsia="pt-BR"/>
        </w:rPr>
        <w:t xml:space="preserve">: </w:t>
      </w:r>
      <w:r w:rsidRPr="003D45FE">
        <w:rPr>
          <w:rFonts w:ascii="Palatino Linotype" w:eastAsia="Times New Roman" w:hAnsi="Palatino Linotype"/>
          <w:i/>
          <w:sz w:val="22"/>
          <w:lang w:val="en-US" w:eastAsia="pt-BR"/>
        </w:rPr>
        <w:t>European Financial Management</w:t>
      </w:r>
      <w:r w:rsidRPr="003D45FE">
        <w:rPr>
          <w:rFonts w:ascii="Palatino Linotype" w:eastAsia="Times New Roman" w:hAnsi="Palatino Linotype"/>
          <w:sz w:val="22"/>
          <w:lang w:val="en-US" w:eastAsia="pt-BR"/>
        </w:rPr>
        <w:t>, Vol. 11, Nº. 4, 2005. p. 44</w:t>
      </w:r>
      <w:r>
        <w:rPr>
          <w:rFonts w:ascii="Palatino Linotype" w:eastAsia="Times New Roman" w:hAnsi="Palatino Linotype"/>
          <w:sz w:val="22"/>
          <w:lang w:val="en-US" w:eastAsia="pt-BR"/>
        </w:rPr>
        <w:t xml:space="preserve">4. </w:t>
      </w:r>
      <w:r w:rsidRPr="003D45FE">
        <w:rPr>
          <w:rFonts w:ascii="Palatino Linotype" w:eastAsia="Times New Roman" w:hAnsi="Palatino Linotype"/>
          <w:sz w:val="22"/>
          <w:lang w:val="en-US" w:eastAsia="pt-BR"/>
        </w:rPr>
        <w:t>No original: “In many instances, this case for the effectiveness of market discipline is powerful. Consider the regulation of entry: the restriction on entry by new entrepreneurs through licensing and permits. Since entering firms are small, and since any failure to deliver quality products would be almost immediately recognised and penalised by customers, it is not clear why the quality of entrepreneurs or of their firms should be regulated at the entry level</w:t>
      </w:r>
      <w:r w:rsidR="000D1FFB">
        <w:rPr>
          <w:rFonts w:ascii="Palatino Linotype" w:eastAsia="Times New Roman" w:hAnsi="Palatino Linotype"/>
          <w:sz w:val="22"/>
          <w:lang w:val="en-US" w:eastAsia="pt-BR"/>
        </w:rPr>
        <w:t>.</w:t>
      </w:r>
      <w:r w:rsidRPr="003D45FE">
        <w:rPr>
          <w:rFonts w:ascii="Palatino Linotype" w:eastAsia="Times New Roman" w:hAnsi="Palatino Linotype"/>
          <w:sz w:val="22"/>
          <w:lang w:val="en-US" w:eastAsia="pt-BR"/>
        </w:rPr>
        <w:t>”)</w:t>
      </w:r>
    </w:p>
    <w:p w:rsidR="000D1FFB" w:rsidRDefault="000D1FFB" w:rsidP="003D45FE">
      <w:pPr>
        <w:spacing w:before="100" w:beforeAutospacing="1" w:after="0" w:line="264" w:lineRule="auto"/>
        <w:ind w:left="2268" w:firstLine="0"/>
        <w:rPr>
          <w:rFonts w:ascii="Palatino Linotype" w:eastAsia="Times New Roman" w:hAnsi="Palatino Linotype"/>
          <w:sz w:val="22"/>
          <w:lang w:eastAsia="pt-BR"/>
        </w:rPr>
      </w:pPr>
      <w:r w:rsidRPr="000D1FFB">
        <w:rPr>
          <w:rFonts w:ascii="Palatino Linotype" w:eastAsia="Times New Roman" w:hAnsi="Palatino Linotype"/>
          <w:sz w:val="22"/>
          <w:lang w:eastAsia="pt-BR"/>
        </w:rPr>
        <w:t xml:space="preserve">“Há uma forma particularmente importante pela qual a regulação pode ser </w:t>
      </w:r>
      <w:r>
        <w:rPr>
          <w:rFonts w:ascii="Palatino Linotype" w:eastAsia="Times New Roman" w:hAnsi="Palatino Linotype"/>
          <w:sz w:val="22"/>
          <w:lang w:eastAsia="pt-BR"/>
        </w:rPr>
        <w:t xml:space="preserve">substancialmente inferior à atividade jurisdicional. Especificamente, </w:t>
      </w:r>
      <w:r w:rsidRPr="00391D9D">
        <w:rPr>
          <w:rFonts w:ascii="Palatino Linotype" w:eastAsia="Times New Roman" w:hAnsi="Palatino Linotype"/>
          <w:b/>
          <w:sz w:val="22"/>
          <w:u w:val="single"/>
          <w:lang w:eastAsia="pt-BR"/>
        </w:rPr>
        <w:t xml:space="preserve">reguladores possuem muito mais oportunidades para criar regras que são não apenas </w:t>
      </w:r>
      <w:r w:rsidR="00D16F0A" w:rsidRPr="00391D9D">
        <w:rPr>
          <w:rFonts w:ascii="Palatino Linotype" w:eastAsia="Times New Roman" w:hAnsi="Palatino Linotype"/>
          <w:b/>
          <w:sz w:val="22"/>
          <w:u w:val="single"/>
          <w:lang w:eastAsia="pt-BR"/>
        </w:rPr>
        <w:t>politicamente motivadas, mas servem na verdade para principalmente beneficiar a si mesmos por meio da criação de oportunidades para a corrupção. Licenciamento e permissões são os exemplos mais claros desse tipo de regulação</w:t>
      </w:r>
      <w:r w:rsidR="00D16F0A">
        <w:rPr>
          <w:rFonts w:ascii="Palatino Linotype" w:eastAsia="Times New Roman" w:hAnsi="Palatino Linotype"/>
          <w:sz w:val="22"/>
          <w:lang w:eastAsia="pt-BR"/>
        </w:rPr>
        <w:t>.</w:t>
      </w:r>
      <w:r w:rsidRPr="000D1FFB">
        <w:rPr>
          <w:rFonts w:ascii="Palatino Linotype" w:eastAsia="Times New Roman" w:hAnsi="Palatino Linotype"/>
          <w:sz w:val="22"/>
          <w:lang w:eastAsia="pt-BR"/>
        </w:rPr>
        <w:t>”</w:t>
      </w:r>
    </w:p>
    <w:p w:rsidR="00D16F0A" w:rsidRPr="00D16F0A" w:rsidRDefault="00D16F0A" w:rsidP="003D45FE">
      <w:pPr>
        <w:spacing w:before="100" w:beforeAutospacing="1" w:after="0" w:line="264" w:lineRule="auto"/>
        <w:ind w:left="2268" w:firstLine="0"/>
        <w:rPr>
          <w:rFonts w:ascii="Palatino Linotype" w:eastAsia="Times New Roman" w:hAnsi="Palatino Linotype"/>
          <w:sz w:val="22"/>
          <w:lang w:val="en-US" w:eastAsia="pt-BR"/>
        </w:rPr>
      </w:pPr>
      <w:r w:rsidRPr="00D16F0A">
        <w:rPr>
          <w:rFonts w:ascii="Palatino Linotype" w:eastAsia="Times New Roman" w:hAnsi="Palatino Linotype"/>
          <w:sz w:val="22"/>
          <w:lang w:val="en-US" w:eastAsia="pt-BR"/>
        </w:rPr>
        <w:t>(</w:t>
      </w:r>
      <w:r>
        <w:rPr>
          <w:rFonts w:ascii="Palatino Linotype" w:eastAsia="Times New Roman" w:hAnsi="Palatino Linotype"/>
          <w:sz w:val="22"/>
          <w:lang w:val="en-US" w:eastAsia="pt-BR"/>
        </w:rPr>
        <w:t xml:space="preserve">SHLEIFER, Andrei. The Enforcement Theory of Regulation. </w:t>
      </w:r>
      <w:r w:rsidRPr="00D16F0A">
        <w:rPr>
          <w:rFonts w:ascii="Palatino Linotype" w:eastAsia="Times New Roman" w:hAnsi="Palatino Linotype"/>
          <w:i/>
          <w:sz w:val="22"/>
          <w:lang w:val="en-US" w:eastAsia="pt-BR"/>
        </w:rPr>
        <w:t>In</w:t>
      </w:r>
      <w:r>
        <w:rPr>
          <w:rFonts w:ascii="Palatino Linotype" w:eastAsia="Times New Roman" w:hAnsi="Palatino Linotype"/>
          <w:sz w:val="22"/>
          <w:lang w:val="en-US" w:eastAsia="pt-BR"/>
        </w:rPr>
        <w:t xml:space="preserve">: </w:t>
      </w:r>
      <w:r w:rsidRPr="00D16F0A">
        <w:rPr>
          <w:rFonts w:ascii="Palatino Linotype" w:eastAsia="Times New Roman" w:hAnsi="Palatino Linotype"/>
          <w:i/>
          <w:sz w:val="22"/>
          <w:lang w:val="en-US" w:eastAsia="pt-BR"/>
        </w:rPr>
        <w:t>The Failure of Judges and the Rise of Regulators</w:t>
      </w:r>
      <w:r>
        <w:rPr>
          <w:rFonts w:ascii="Palatino Linotype" w:eastAsia="Times New Roman" w:hAnsi="Palatino Linotype"/>
          <w:sz w:val="22"/>
          <w:lang w:val="en-US" w:eastAsia="pt-BR"/>
        </w:rPr>
        <w:t xml:space="preserve">. Cambridge: The MIT Press, 2012. p. 18. No original: </w:t>
      </w:r>
      <w:r w:rsidRPr="00D16F0A">
        <w:rPr>
          <w:rFonts w:ascii="Palatino Linotype" w:eastAsia="Times New Roman" w:hAnsi="Palatino Linotype"/>
          <w:sz w:val="22"/>
          <w:lang w:val="en-US" w:eastAsia="pt-BR"/>
        </w:rPr>
        <w:t>“There is one particularly important way in which regulation mig</w:t>
      </w:r>
      <w:r>
        <w:rPr>
          <w:rFonts w:ascii="Palatino Linotype" w:eastAsia="Times New Roman" w:hAnsi="Palatino Linotype"/>
          <w:sz w:val="22"/>
          <w:lang w:val="en-US" w:eastAsia="pt-BR"/>
        </w:rPr>
        <w:t>ht be substantially inferior to litigation. Specifically, regulators have far greater opportunity to create rules that are not only politically motivated, but actually serve principally to benefit themselves by creating opportunities for bribe taking. Licenses and permits are the clearest examples of such regulations.</w:t>
      </w:r>
      <w:r w:rsidRPr="00D16F0A">
        <w:rPr>
          <w:rFonts w:ascii="Palatino Linotype" w:eastAsia="Times New Roman" w:hAnsi="Palatino Linotype"/>
          <w:sz w:val="22"/>
          <w:lang w:val="en-US" w:eastAsia="pt-BR"/>
        </w:rPr>
        <w:t>”)</w:t>
      </w:r>
    </w:p>
    <w:p w:rsidR="00E42D41" w:rsidRPr="00F77F01" w:rsidRDefault="0000287A" w:rsidP="00E42D41">
      <w:pPr>
        <w:spacing w:before="100" w:beforeAutospacing="1" w:after="0" w:line="264" w:lineRule="auto"/>
        <w:ind w:firstLine="567"/>
        <w:rPr>
          <w:rFonts w:ascii="Palatino Linotype" w:eastAsia="Times New Roman" w:hAnsi="Palatino Linotype"/>
          <w:sz w:val="26"/>
          <w:szCs w:val="26"/>
          <w:lang w:val="en-US" w:eastAsia="pt-BR"/>
        </w:rPr>
      </w:pPr>
      <w:r w:rsidRPr="0000287A">
        <w:rPr>
          <w:rFonts w:ascii="Palatino Linotype" w:eastAsia="Times New Roman" w:hAnsi="Palatino Linotype"/>
          <w:sz w:val="26"/>
          <w:szCs w:val="26"/>
          <w:lang w:eastAsia="pt-BR"/>
        </w:rPr>
        <w:t xml:space="preserve">Na mesma linha, Richard Posner assevera que ”enquanto há razões teóricas para acreditar-se que a concentração em mercados desregulados </w:t>
      </w:r>
      <w:r w:rsidRPr="0000287A">
        <w:rPr>
          <w:rFonts w:ascii="Palatino Linotype" w:eastAsia="Times New Roman" w:hAnsi="Palatino Linotype"/>
          <w:sz w:val="26"/>
          <w:szCs w:val="26"/>
          <w:lang w:eastAsia="pt-BR"/>
        </w:rPr>
        <w:lastRenderedPageBreak/>
        <w:t>está associada a economias de escala e outras eficiências, não há teoria ou conjunto de evidências aceitos que atribuam benef</w:t>
      </w:r>
      <w:r>
        <w:rPr>
          <w:rFonts w:ascii="Palatino Linotype" w:eastAsia="Times New Roman" w:hAnsi="Palatino Linotype"/>
          <w:sz w:val="26"/>
          <w:szCs w:val="26"/>
          <w:lang w:eastAsia="pt-BR"/>
        </w:rPr>
        <w:t>í</w:t>
      </w:r>
      <w:r w:rsidRPr="0000287A">
        <w:rPr>
          <w:rFonts w:ascii="Palatino Linotype" w:eastAsia="Times New Roman" w:hAnsi="Palatino Linotype"/>
          <w:sz w:val="26"/>
          <w:szCs w:val="26"/>
          <w:lang w:eastAsia="pt-BR"/>
        </w:rPr>
        <w:t>cios sociais à regulaç</w:t>
      </w:r>
      <w:r>
        <w:rPr>
          <w:rFonts w:ascii="Palatino Linotype" w:eastAsia="Times New Roman" w:hAnsi="Palatino Linotype"/>
          <w:sz w:val="26"/>
          <w:szCs w:val="26"/>
          <w:lang w:eastAsia="pt-BR"/>
        </w:rPr>
        <w:t>ão que limite a entrada e a competição de preços</w:t>
      </w:r>
      <w:r w:rsidRPr="0000287A">
        <w:rPr>
          <w:rFonts w:ascii="Palatino Linotype" w:eastAsia="Times New Roman" w:hAnsi="Palatino Linotype"/>
          <w:sz w:val="26"/>
          <w:szCs w:val="26"/>
          <w:lang w:eastAsia="pt-BR"/>
        </w:rPr>
        <w:t>” (no original: "</w:t>
      </w:r>
      <w:r w:rsidRPr="0000287A">
        <w:rPr>
          <w:rFonts w:ascii="Palatino Linotype" w:eastAsia="Times New Roman" w:hAnsi="Palatino Linotype"/>
          <w:i/>
          <w:sz w:val="26"/>
          <w:szCs w:val="26"/>
          <w:lang w:eastAsia="pt-BR"/>
        </w:rPr>
        <w:t>while there are theoretical reasons for believing that concentration in unregulated markets is associated with economies of scale and other efficiencies (Demsetz 1973), there is no accepted theory or body of evidence that ascribes social benefits to regulation limiting entry and price competition</w:t>
      </w:r>
      <w:r w:rsidRPr="0000287A">
        <w:rPr>
          <w:rFonts w:ascii="Palatino Linotype" w:eastAsia="Times New Roman" w:hAnsi="Palatino Linotype"/>
          <w:sz w:val="26"/>
          <w:szCs w:val="26"/>
          <w:lang w:eastAsia="pt-BR"/>
        </w:rPr>
        <w:t xml:space="preserve">". </w:t>
      </w:r>
      <w:r w:rsidRPr="0000287A">
        <w:rPr>
          <w:rFonts w:ascii="Palatino Linotype" w:eastAsia="Times New Roman" w:hAnsi="Palatino Linotype"/>
          <w:sz w:val="26"/>
          <w:szCs w:val="26"/>
          <w:lang w:val="en-US" w:eastAsia="pt-BR"/>
        </w:rPr>
        <w:t xml:space="preserve">POSNER, Richard A. "The Social Costs of Monopoly and Regulation". </w:t>
      </w:r>
      <w:r w:rsidRPr="0000287A">
        <w:rPr>
          <w:rFonts w:ascii="Palatino Linotype" w:eastAsia="Times New Roman" w:hAnsi="Palatino Linotype"/>
          <w:i/>
          <w:sz w:val="26"/>
          <w:szCs w:val="26"/>
          <w:lang w:val="en-US" w:eastAsia="pt-BR"/>
        </w:rPr>
        <w:t>In</w:t>
      </w:r>
      <w:r>
        <w:rPr>
          <w:rFonts w:ascii="Palatino Linotype" w:eastAsia="Times New Roman" w:hAnsi="Palatino Linotype"/>
          <w:sz w:val="26"/>
          <w:szCs w:val="26"/>
          <w:lang w:val="en-US" w:eastAsia="pt-BR"/>
        </w:rPr>
        <w:t xml:space="preserve">: </w:t>
      </w:r>
      <w:r w:rsidRPr="0000287A">
        <w:rPr>
          <w:rFonts w:ascii="Palatino Linotype" w:eastAsia="Times New Roman" w:hAnsi="Palatino Linotype"/>
          <w:i/>
          <w:sz w:val="26"/>
          <w:szCs w:val="26"/>
          <w:lang w:val="en-US" w:eastAsia="pt-BR"/>
        </w:rPr>
        <w:t>The Journal of Political Economy</w:t>
      </w:r>
      <w:r w:rsidRPr="0000287A">
        <w:rPr>
          <w:rFonts w:ascii="Palatino Linotype" w:eastAsia="Times New Roman" w:hAnsi="Palatino Linotype"/>
          <w:sz w:val="26"/>
          <w:szCs w:val="26"/>
          <w:lang w:val="en-US" w:eastAsia="pt-BR"/>
        </w:rPr>
        <w:t>, Vol. 83, No. 4 (Aug., 1975), pp. 807-828).</w:t>
      </w:r>
      <w:r w:rsidR="00E42D41">
        <w:rPr>
          <w:rFonts w:ascii="Palatino Linotype" w:eastAsia="Times New Roman" w:hAnsi="Palatino Linotype"/>
          <w:sz w:val="26"/>
          <w:szCs w:val="26"/>
          <w:lang w:val="en-US" w:eastAsia="pt-BR"/>
        </w:rPr>
        <w:t xml:space="preserve"> </w:t>
      </w:r>
      <w:r w:rsidR="00E42D41" w:rsidRPr="00E42D41">
        <w:rPr>
          <w:rFonts w:ascii="Palatino Linotype" w:eastAsia="Times New Roman" w:hAnsi="Palatino Linotype"/>
          <w:sz w:val="26"/>
          <w:szCs w:val="26"/>
          <w:lang w:eastAsia="pt-BR"/>
        </w:rPr>
        <w:t xml:space="preserve">Também o falecido professor da Universidade de </w:t>
      </w:r>
      <w:r w:rsidR="00E42D41">
        <w:rPr>
          <w:rFonts w:ascii="Palatino Linotype" w:eastAsia="Times New Roman" w:hAnsi="Palatino Linotype"/>
          <w:sz w:val="26"/>
          <w:szCs w:val="26"/>
          <w:lang w:eastAsia="pt-BR"/>
        </w:rPr>
        <w:t>Columbia Walter Gellh</w:t>
      </w:r>
      <w:r w:rsidR="00E42D41" w:rsidRPr="00E42D41">
        <w:rPr>
          <w:rFonts w:ascii="Palatino Linotype" w:eastAsia="Times New Roman" w:hAnsi="Palatino Linotype"/>
          <w:sz w:val="26"/>
          <w:szCs w:val="26"/>
          <w:lang w:eastAsia="pt-BR"/>
        </w:rPr>
        <w:t>o</w:t>
      </w:r>
      <w:r w:rsidR="00E42D41">
        <w:rPr>
          <w:rFonts w:ascii="Palatino Linotype" w:eastAsia="Times New Roman" w:hAnsi="Palatino Linotype"/>
          <w:sz w:val="26"/>
          <w:szCs w:val="26"/>
          <w:lang w:eastAsia="pt-BR"/>
        </w:rPr>
        <w:t>r</w:t>
      </w:r>
      <w:r w:rsidR="00E42D41" w:rsidRPr="00E42D41">
        <w:rPr>
          <w:rFonts w:ascii="Palatino Linotype" w:eastAsia="Times New Roman" w:hAnsi="Palatino Linotype"/>
          <w:sz w:val="26"/>
          <w:szCs w:val="26"/>
          <w:lang w:eastAsia="pt-BR"/>
        </w:rPr>
        <w:t>n</w:t>
      </w:r>
      <w:r w:rsidR="00E42D41">
        <w:rPr>
          <w:rFonts w:ascii="Palatino Linotype" w:eastAsia="Times New Roman" w:hAnsi="Palatino Linotype"/>
          <w:sz w:val="26"/>
          <w:szCs w:val="26"/>
          <w:lang w:eastAsia="pt-BR"/>
        </w:rPr>
        <w:t xml:space="preserve"> já alertava que a limitação do exercício profissional no âmbito da entrada não se justifica sob o prisma da garantia de qualidade no mercado de consumo. Segundo ele, “apenas são necessárias medidas que oferecerão proteção contra aqueles </w:t>
      </w:r>
      <w:r w:rsidR="00756B8E">
        <w:rPr>
          <w:rFonts w:ascii="Palatino Linotype" w:eastAsia="Times New Roman" w:hAnsi="Palatino Linotype"/>
          <w:sz w:val="26"/>
          <w:szCs w:val="26"/>
          <w:lang w:eastAsia="pt-BR"/>
        </w:rPr>
        <w:t>comprovadamente</w:t>
      </w:r>
      <w:r w:rsidR="00E42D41">
        <w:rPr>
          <w:rFonts w:ascii="Palatino Linotype" w:eastAsia="Times New Roman" w:hAnsi="Palatino Linotype"/>
          <w:sz w:val="26"/>
          <w:szCs w:val="26"/>
          <w:lang w:eastAsia="pt-BR"/>
        </w:rPr>
        <w:t xml:space="preserve"> deficientes em sua capacidade ou integridade, sem criar nesse processo limitações artificiais sobre as escolhas de carreiras, oportunidades de trabalho e estímulos para prestar serviços superiores a custos menores” (No original: “</w:t>
      </w:r>
      <w:r w:rsidR="00E42D41" w:rsidRPr="00E42D41">
        <w:rPr>
          <w:rFonts w:ascii="Palatino Linotype" w:eastAsia="Times New Roman" w:hAnsi="Palatino Linotype"/>
          <w:i/>
          <w:sz w:val="26"/>
          <w:szCs w:val="26"/>
          <w:lang w:eastAsia="pt-BR"/>
        </w:rPr>
        <w:t>What are needed are measures that will provide protection against those demonstrably deficient in capability or integrity without in the process creating artificial limitations upon career choices, work opportunities, and stimuli to provide superior service at lesser cost</w:t>
      </w:r>
      <w:r w:rsidR="00E42D41" w:rsidRPr="00E42D41">
        <w:rPr>
          <w:rFonts w:ascii="Palatino Linotype" w:eastAsia="Times New Roman" w:hAnsi="Palatino Linotype"/>
          <w:sz w:val="26"/>
          <w:szCs w:val="26"/>
          <w:lang w:eastAsia="pt-BR"/>
        </w:rPr>
        <w:t>.</w:t>
      </w:r>
      <w:r w:rsidR="00E42D41">
        <w:rPr>
          <w:rFonts w:ascii="Palatino Linotype" w:eastAsia="Times New Roman" w:hAnsi="Palatino Linotype"/>
          <w:sz w:val="26"/>
          <w:szCs w:val="26"/>
          <w:lang w:eastAsia="pt-BR"/>
        </w:rPr>
        <w:t>”</w:t>
      </w:r>
      <w:r w:rsidR="00527C0C">
        <w:rPr>
          <w:rFonts w:ascii="Palatino Linotype" w:eastAsia="Times New Roman" w:hAnsi="Palatino Linotype"/>
          <w:sz w:val="26"/>
          <w:szCs w:val="26"/>
          <w:lang w:eastAsia="pt-BR"/>
        </w:rPr>
        <w:t xml:space="preserve"> </w:t>
      </w:r>
      <w:r w:rsidR="00527C0C" w:rsidRPr="00F77F01">
        <w:rPr>
          <w:rFonts w:ascii="Palatino Linotype" w:eastAsia="Times New Roman" w:hAnsi="Palatino Linotype"/>
          <w:sz w:val="26"/>
          <w:szCs w:val="26"/>
          <w:lang w:val="en-US" w:eastAsia="pt-BR"/>
        </w:rPr>
        <w:t xml:space="preserve">GELLHORN, Walter. “The Abuse of Occupational Licensing”. </w:t>
      </w:r>
      <w:r w:rsidR="00527C0C" w:rsidRPr="00F77F01">
        <w:rPr>
          <w:rFonts w:ascii="Palatino Linotype" w:eastAsia="Times New Roman" w:hAnsi="Palatino Linotype"/>
          <w:i/>
          <w:sz w:val="26"/>
          <w:szCs w:val="26"/>
          <w:lang w:val="en-US" w:eastAsia="pt-BR"/>
        </w:rPr>
        <w:t>In</w:t>
      </w:r>
      <w:r w:rsidR="00527C0C" w:rsidRPr="00F77F01">
        <w:rPr>
          <w:rFonts w:ascii="Palatino Linotype" w:eastAsia="Times New Roman" w:hAnsi="Palatino Linotype"/>
          <w:sz w:val="26"/>
          <w:szCs w:val="26"/>
          <w:lang w:val="en-US" w:eastAsia="pt-BR"/>
        </w:rPr>
        <w:t xml:space="preserve">: 44 </w:t>
      </w:r>
      <w:r w:rsidR="00527C0C" w:rsidRPr="00F77F01">
        <w:rPr>
          <w:rFonts w:ascii="Palatino Linotype" w:eastAsia="Times New Roman" w:hAnsi="Palatino Linotype"/>
          <w:i/>
          <w:sz w:val="26"/>
          <w:szCs w:val="26"/>
          <w:lang w:val="en-US" w:eastAsia="pt-BR"/>
        </w:rPr>
        <w:t>U. Chi. L. Rev.</w:t>
      </w:r>
      <w:r w:rsidR="00527C0C" w:rsidRPr="00F77F01">
        <w:rPr>
          <w:rFonts w:ascii="Palatino Linotype" w:eastAsia="Times New Roman" w:hAnsi="Palatino Linotype"/>
          <w:sz w:val="26"/>
          <w:szCs w:val="26"/>
          <w:lang w:val="en-US" w:eastAsia="pt-BR"/>
        </w:rPr>
        <w:t xml:space="preserve"> 6 1976-1977</w:t>
      </w:r>
      <w:r w:rsidR="00E42D41" w:rsidRPr="00F77F01">
        <w:rPr>
          <w:rFonts w:ascii="Palatino Linotype" w:eastAsia="Times New Roman" w:hAnsi="Palatino Linotype"/>
          <w:sz w:val="26"/>
          <w:szCs w:val="26"/>
          <w:lang w:val="en-US" w:eastAsia="pt-BR"/>
        </w:rPr>
        <w:t>).</w:t>
      </w:r>
    </w:p>
    <w:p w:rsidR="007F26DC" w:rsidRDefault="00391D9D" w:rsidP="00211B8E">
      <w:pPr>
        <w:spacing w:before="100" w:beforeAutospacing="1" w:after="0" w:line="264" w:lineRule="auto"/>
        <w:ind w:firstLine="567"/>
        <w:rPr>
          <w:rFonts w:ascii="Palatino Linotype" w:eastAsia="Times New Roman" w:hAnsi="Palatino Linotype"/>
          <w:sz w:val="26"/>
          <w:szCs w:val="26"/>
          <w:lang w:eastAsia="pt-BR"/>
        </w:rPr>
      </w:pPr>
      <w:r w:rsidRPr="00391D9D">
        <w:rPr>
          <w:rFonts w:ascii="Palatino Linotype" w:eastAsia="Times New Roman" w:hAnsi="Palatino Linotype"/>
          <w:sz w:val="26"/>
          <w:szCs w:val="26"/>
          <w:lang w:eastAsia="pt-BR"/>
        </w:rPr>
        <w:t>O descr</w:t>
      </w:r>
      <w:r>
        <w:rPr>
          <w:rFonts w:ascii="Palatino Linotype" w:eastAsia="Times New Roman" w:hAnsi="Palatino Linotype"/>
          <w:sz w:val="26"/>
          <w:szCs w:val="26"/>
          <w:lang w:eastAsia="pt-BR"/>
        </w:rPr>
        <w:t xml:space="preserve">édito na capacidade do regulador </w:t>
      </w:r>
      <w:r w:rsidRPr="00391D9D">
        <w:rPr>
          <w:rFonts w:ascii="Palatino Linotype" w:eastAsia="Times New Roman" w:hAnsi="Palatino Linotype"/>
          <w:sz w:val="26"/>
          <w:szCs w:val="26"/>
          <w:lang w:eastAsia="pt-BR"/>
        </w:rPr>
        <w:t xml:space="preserve">produzir benefícios sociais </w:t>
      </w:r>
      <w:r>
        <w:rPr>
          <w:rFonts w:ascii="Palatino Linotype" w:eastAsia="Times New Roman" w:hAnsi="Palatino Linotype"/>
          <w:sz w:val="26"/>
          <w:szCs w:val="26"/>
          <w:lang w:eastAsia="pt-BR"/>
        </w:rPr>
        <w:t xml:space="preserve">pela limitação de ingresso no mercado não se restringe à teoria. </w:t>
      </w:r>
      <w:r w:rsidR="001D29D1" w:rsidRPr="001D29D1">
        <w:rPr>
          <w:rFonts w:ascii="Palatino Linotype" w:eastAsia="Times New Roman" w:hAnsi="Palatino Linotype"/>
          <w:sz w:val="26"/>
          <w:szCs w:val="26"/>
          <w:lang w:eastAsia="pt-BR"/>
        </w:rPr>
        <w:t>A hipótese segundo a qual a</w:t>
      </w:r>
      <w:r w:rsidR="001D29D1">
        <w:rPr>
          <w:rFonts w:ascii="Palatino Linotype" w:eastAsia="Times New Roman" w:hAnsi="Palatino Linotype"/>
          <w:sz w:val="26"/>
          <w:szCs w:val="26"/>
          <w:lang w:eastAsia="pt-BR"/>
        </w:rPr>
        <w:t xml:space="preserve"> regulação de entrada seria realizada no interesse dos consumidores também não resiste à análise empírica. Em estudo realizado a partir de dados de 85 (oitenta e cinco) países, os pesquisadores concluíram que a limitação de entrada, além de não gerar benefícios aos consumidores, promove a corrupção. Eis as conclusões dos professores Simeon Djankov (Universidade de Michigan), Rafael La Porta (PhD em economia pela Universidade de Harvard) e Florencio Lopez-de-Silanes </w:t>
      </w:r>
      <w:r w:rsidR="001D29D1" w:rsidRPr="001D29D1">
        <w:rPr>
          <w:rFonts w:ascii="Palatino Linotype" w:eastAsia="Times New Roman" w:hAnsi="Palatino Linotype"/>
          <w:sz w:val="26"/>
          <w:szCs w:val="26"/>
          <w:lang w:eastAsia="pt-BR"/>
        </w:rPr>
        <w:t>(PhD em economia pela Universidade de Harvard)</w:t>
      </w:r>
      <w:r w:rsidR="001D29D1">
        <w:rPr>
          <w:rFonts w:ascii="Palatino Linotype" w:eastAsia="Times New Roman" w:hAnsi="Palatino Linotype"/>
          <w:sz w:val="26"/>
          <w:szCs w:val="26"/>
          <w:lang w:eastAsia="pt-BR"/>
        </w:rPr>
        <w:t>:</w:t>
      </w:r>
    </w:p>
    <w:p w:rsidR="007D7495" w:rsidRDefault="005F19FC" w:rsidP="005F19FC">
      <w:pPr>
        <w:spacing w:before="100" w:beforeAutospacing="1" w:after="0" w:line="264" w:lineRule="auto"/>
        <w:ind w:left="2268" w:firstLine="0"/>
        <w:rPr>
          <w:rFonts w:ascii="Palatino Linotype" w:eastAsia="Times New Roman" w:hAnsi="Palatino Linotype"/>
          <w:sz w:val="22"/>
          <w:lang w:eastAsia="pt-BR"/>
        </w:rPr>
      </w:pPr>
      <w:r w:rsidRPr="005F19FC">
        <w:rPr>
          <w:rFonts w:ascii="Palatino Linotype" w:eastAsia="Times New Roman" w:hAnsi="Palatino Linotype"/>
          <w:sz w:val="22"/>
          <w:lang w:eastAsia="pt-BR"/>
        </w:rPr>
        <w:t xml:space="preserve">“Em uma análise de corte transversal de países, nós não encontramos correlação entre regulação mais estrita de entrada </w:t>
      </w:r>
      <w:r w:rsidRPr="005F19FC">
        <w:rPr>
          <w:rFonts w:ascii="Palatino Linotype" w:eastAsia="Times New Roman" w:hAnsi="Palatino Linotype"/>
          <w:sz w:val="22"/>
          <w:lang w:eastAsia="pt-BR"/>
        </w:rPr>
        <w:lastRenderedPageBreak/>
        <w:t>e maior qualidade de produtos, melhores índices de poluição ou resultados de saúde, ou competição mais intensa.</w:t>
      </w:r>
      <w:r>
        <w:rPr>
          <w:rFonts w:ascii="Palatino Linotype" w:eastAsia="Times New Roman" w:hAnsi="Palatino Linotype"/>
          <w:sz w:val="22"/>
          <w:lang w:eastAsia="pt-BR"/>
        </w:rPr>
        <w:t xml:space="preserve"> Porém, </w:t>
      </w:r>
      <w:r w:rsidRPr="00391D9D">
        <w:rPr>
          <w:rFonts w:ascii="Palatino Linotype" w:eastAsia="Times New Roman" w:hAnsi="Palatino Linotype"/>
          <w:b/>
          <w:sz w:val="22"/>
          <w:u w:val="single"/>
          <w:lang w:eastAsia="pt-BR"/>
        </w:rPr>
        <w:t>regulação mais estrita de entrada está associada a níveis extremamente mais altos de corrupção</w:t>
      </w:r>
      <w:r>
        <w:rPr>
          <w:rFonts w:ascii="Palatino Linotype" w:eastAsia="Times New Roman" w:hAnsi="Palatino Linotype"/>
          <w:sz w:val="22"/>
          <w:lang w:eastAsia="pt-BR"/>
        </w:rPr>
        <w:t xml:space="preserve"> e um maior tamanho relativo da economia informal. Essa prova favorece a teoria da </w:t>
      </w:r>
      <w:r>
        <w:rPr>
          <w:rFonts w:ascii="Palatino Linotype" w:eastAsia="Times New Roman" w:hAnsi="Palatino Linotype"/>
          <w:i/>
          <w:sz w:val="22"/>
          <w:lang w:eastAsia="pt-BR"/>
        </w:rPr>
        <w:t>public choice</w:t>
      </w:r>
      <w:r>
        <w:rPr>
          <w:rFonts w:ascii="Palatino Linotype" w:eastAsia="Times New Roman" w:hAnsi="Palatino Linotype"/>
          <w:sz w:val="22"/>
          <w:lang w:eastAsia="pt-BR"/>
        </w:rPr>
        <w:t xml:space="preserve"> em detrimento da teoria regulatória do interesse público.</w:t>
      </w:r>
    </w:p>
    <w:p w:rsidR="007D7495" w:rsidRDefault="007D7495" w:rsidP="005F19FC">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w:t>
      </w:r>
    </w:p>
    <w:p w:rsidR="001D29D1" w:rsidRDefault="007D7495" w:rsidP="005F19FC">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 xml:space="preserve">Nós concluímos que os países com acesso mais aberto ao poder político, maiores restrições ao Executivo e mais direitos políticos apresentam regulação de entrada menos onerosa – ainda que controlando pela renda </w:t>
      </w:r>
      <w:r>
        <w:rPr>
          <w:rFonts w:ascii="Palatino Linotype" w:eastAsia="Times New Roman" w:hAnsi="Palatino Linotype"/>
          <w:i/>
          <w:sz w:val="22"/>
          <w:lang w:eastAsia="pt-BR"/>
        </w:rPr>
        <w:t>per capita</w:t>
      </w:r>
      <w:r>
        <w:rPr>
          <w:rFonts w:ascii="Palatino Linotype" w:eastAsia="Times New Roman" w:hAnsi="Palatino Linotype"/>
          <w:sz w:val="22"/>
          <w:lang w:eastAsia="pt-BR"/>
        </w:rPr>
        <w:t xml:space="preserve"> – do que os países com governos menos representativos, menos limitados e menos livres. (...) O fato de que governos melhores regulam menos a entrada, ao lado da interpretação inequívoca da prova sobre a corrupção e a economia informal, aponta para a </w:t>
      </w:r>
      <w:r w:rsidRPr="00391D9D">
        <w:rPr>
          <w:rFonts w:ascii="Palatino Linotype" w:eastAsia="Times New Roman" w:hAnsi="Palatino Linotype"/>
          <w:b/>
          <w:sz w:val="22"/>
          <w:u w:val="single"/>
          <w:lang w:eastAsia="pt-BR"/>
        </w:rPr>
        <w:t>“teoria da praça de pedágio”: a entrada é regulada porque isso favorece os reguladores</w:t>
      </w:r>
      <w:r>
        <w:rPr>
          <w:rFonts w:ascii="Palatino Linotype" w:eastAsia="Times New Roman" w:hAnsi="Palatino Linotype"/>
          <w:sz w:val="22"/>
          <w:lang w:eastAsia="pt-BR"/>
        </w:rPr>
        <w:t>.</w:t>
      </w:r>
      <w:r w:rsidR="005F19FC" w:rsidRPr="005F19FC">
        <w:rPr>
          <w:rFonts w:ascii="Palatino Linotype" w:eastAsia="Times New Roman" w:hAnsi="Palatino Linotype"/>
          <w:sz w:val="22"/>
          <w:lang w:eastAsia="pt-BR"/>
        </w:rPr>
        <w:t>”</w:t>
      </w:r>
    </w:p>
    <w:p w:rsidR="007D7495" w:rsidRDefault="005F19FC" w:rsidP="005F19FC">
      <w:pPr>
        <w:spacing w:before="100" w:beforeAutospacing="1" w:after="0" w:line="264" w:lineRule="auto"/>
        <w:ind w:left="2268" w:firstLine="0"/>
        <w:rPr>
          <w:rFonts w:ascii="Palatino Linotype" w:eastAsia="Times New Roman" w:hAnsi="Palatino Linotype"/>
          <w:sz w:val="22"/>
          <w:lang w:val="en-US" w:eastAsia="pt-BR"/>
        </w:rPr>
      </w:pPr>
      <w:r w:rsidRPr="00595F08">
        <w:rPr>
          <w:rFonts w:ascii="Palatino Linotype" w:eastAsia="Times New Roman" w:hAnsi="Palatino Linotype"/>
          <w:sz w:val="22"/>
          <w:lang w:eastAsia="pt-BR"/>
        </w:rPr>
        <w:t>(</w:t>
      </w:r>
      <w:r w:rsidR="007D7495" w:rsidRPr="00595F08">
        <w:rPr>
          <w:rFonts w:ascii="Palatino Linotype" w:eastAsia="Times New Roman" w:hAnsi="Palatino Linotype"/>
          <w:sz w:val="22"/>
          <w:lang w:eastAsia="pt-BR"/>
        </w:rPr>
        <w:t xml:space="preserve">DJANKOV, Simeon; LA PORTA, Rafael; LOPEZ-DE-SILANES, Florencio. </w:t>
      </w:r>
      <w:r w:rsidR="007D7495">
        <w:rPr>
          <w:rFonts w:ascii="Palatino Linotype" w:eastAsia="Times New Roman" w:hAnsi="Palatino Linotype"/>
          <w:sz w:val="22"/>
          <w:lang w:val="en-US" w:eastAsia="pt-BR"/>
        </w:rPr>
        <w:t>The Regulation of Entry</w:t>
      </w:r>
      <w:r w:rsidR="007D7495" w:rsidRPr="007D7495">
        <w:rPr>
          <w:rFonts w:ascii="Palatino Linotype" w:eastAsia="Times New Roman" w:hAnsi="Palatino Linotype"/>
          <w:sz w:val="22"/>
          <w:lang w:val="en-US" w:eastAsia="pt-BR"/>
        </w:rPr>
        <w:t xml:space="preserve">. </w:t>
      </w:r>
      <w:r w:rsidR="007D7495" w:rsidRPr="007D7495">
        <w:rPr>
          <w:rFonts w:ascii="Palatino Linotype" w:eastAsia="Times New Roman" w:hAnsi="Palatino Linotype"/>
          <w:i/>
          <w:sz w:val="22"/>
          <w:lang w:val="en-US" w:eastAsia="pt-BR"/>
        </w:rPr>
        <w:t>In</w:t>
      </w:r>
      <w:r w:rsidR="007D7495" w:rsidRPr="007D7495">
        <w:rPr>
          <w:rFonts w:ascii="Palatino Linotype" w:eastAsia="Times New Roman" w:hAnsi="Palatino Linotype"/>
          <w:sz w:val="22"/>
          <w:lang w:val="en-US" w:eastAsia="pt-BR"/>
        </w:rPr>
        <w:t xml:space="preserve">: </w:t>
      </w:r>
      <w:r w:rsidR="007D7495" w:rsidRPr="007D7495">
        <w:rPr>
          <w:rFonts w:ascii="Palatino Linotype" w:eastAsia="Times New Roman" w:hAnsi="Palatino Linotype"/>
          <w:i/>
          <w:sz w:val="22"/>
          <w:lang w:val="en-US" w:eastAsia="pt-BR"/>
        </w:rPr>
        <w:t>The Failure of Judges and the Rise of Regulators</w:t>
      </w:r>
      <w:r w:rsidR="007D7495" w:rsidRPr="007D7495">
        <w:rPr>
          <w:rFonts w:ascii="Palatino Linotype" w:eastAsia="Times New Roman" w:hAnsi="Palatino Linotype"/>
          <w:sz w:val="22"/>
          <w:lang w:val="en-US" w:eastAsia="pt-BR"/>
        </w:rPr>
        <w:t>. Cambridge: The MIT Press, 2012.</w:t>
      </w:r>
      <w:r w:rsidR="007D7495">
        <w:rPr>
          <w:rFonts w:ascii="Palatino Linotype" w:eastAsia="Times New Roman" w:hAnsi="Palatino Linotype"/>
          <w:sz w:val="22"/>
          <w:lang w:val="en-US" w:eastAsia="pt-BR"/>
        </w:rPr>
        <w:t xml:space="preserve"> p. 270. </w:t>
      </w:r>
      <w:r w:rsidRPr="005F19FC">
        <w:rPr>
          <w:rFonts w:ascii="Palatino Linotype" w:eastAsia="Times New Roman" w:hAnsi="Palatino Linotype"/>
          <w:sz w:val="22"/>
          <w:lang w:val="en-US" w:eastAsia="pt-BR"/>
        </w:rPr>
        <w:t>No original: “In a cross-section of countries, we do not find that stricter regulation</w:t>
      </w:r>
      <w:r>
        <w:rPr>
          <w:rFonts w:ascii="Palatino Linotype" w:eastAsia="Times New Roman" w:hAnsi="Palatino Linotype"/>
          <w:sz w:val="22"/>
          <w:lang w:val="en-US" w:eastAsia="pt-BR"/>
        </w:rPr>
        <w:t xml:space="preserve"> of entry is associated with higher quality products, better pollution records or health outcomes, or keener competition.</w:t>
      </w:r>
      <w:r w:rsidR="007D7495">
        <w:rPr>
          <w:rFonts w:ascii="Palatino Linotype" w:eastAsia="Times New Roman" w:hAnsi="Palatino Linotype"/>
          <w:sz w:val="22"/>
          <w:lang w:val="en-US" w:eastAsia="pt-BR"/>
        </w:rPr>
        <w:t xml:space="preserve"> But stricter regulation of entry </w:t>
      </w:r>
      <w:r w:rsidR="007D7495">
        <w:rPr>
          <w:rFonts w:ascii="Palatino Linotype" w:eastAsia="Times New Roman" w:hAnsi="Palatino Linotype"/>
          <w:i/>
          <w:sz w:val="22"/>
          <w:lang w:val="en-US" w:eastAsia="pt-BR"/>
        </w:rPr>
        <w:t xml:space="preserve">is </w:t>
      </w:r>
      <w:r w:rsidR="007D7495">
        <w:rPr>
          <w:rFonts w:ascii="Palatino Linotype" w:eastAsia="Times New Roman" w:hAnsi="Palatino Linotype"/>
          <w:sz w:val="22"/>
          <w:lang w:val="en-US" w:eastAsia="pt-BR"/>
        </w:rPr>
        <w:t>associated with sharply higher levels of corruption, and a greater relative size of the unofficial economy. This evidence favors public choice over the public interest theories of regulation.</w:t>
      </w:r>
    </w:p>
    <w:p w:rsidR="007D7495" w:rsidRDefault="007D7495" w:rsidP="005F19FC">
      <w:pPr>
        <w:spacing w:before="100" w:beforeAutospacing="1" w:after="0" w:line="264" w:lineRule="auto"/>
        <w:ind w:left="2268" w:firstLine="0"/>
        <w:rPr>
          <w:rFonts w:ascii="Palatino Linotype" w:eastAsia="Times New Roman" w:hAnsi="Palatino Linotype"/>
          <w:sz w:val="22"/>
          <w:lang w:val="en-US" w:eastAsia="pt-BR"/>
        </w:rPr>
      </w:pPr>
      <w:r>
        <w:rPr>
          <w:rFonts w:ascii="Palatino Linotype" w:eastAsia="Times New Roman" w:hAnsi="Palatino Linotype"/>
          <w:sz w:val="22"/>
          <w:lang w:val="en-US" w:eastAsia="pt-BR"/>
        </w:rPr>
        <w:t>(…)</w:t>
      </w:r>
    </w:p>
    <w:p w:rsidR="005F19FC" w:rsidRPr="005F19FC" w:rsidRDefault="007D7495" w:rsidP="005F19FC">
      <w:pPr>
        <w:spacing w:before="100" w:beforeAutospacing="1" w:after="0" w:line="264" w:lineRule="auto"/>
        <w:ind w:left="2268" w:firstLine="0"/>
        <w:rPr>
          <w:rFonts w:ascii="Palatino Linotype" w:eastAsia="Times New Roman" w:hAnsi="Palatino Linotype"/>
          <w:sz w:val="22"/>
          <w:lang w:val="en-US" w:eastAsia="pt-BR"/>
        </w:rPr>
      </w:pPr>
      <w:r>
        <w:rPr>
          <w:rFonts w:ascii="Palatino Linotype" w:eastAsia="Times New Roman" w:hAnsi="Palatino Linotype"/>
          <w:sz w:val="22"/>
          <w:lang w:val="en-US" w:eastAsia="pt-BR"/>
        </w:rPr>
        <w:t>We find that the countries with more open access to political power, greater constraints on the executive, and greater political rights have less burdensome regulation of entry – even controlling for per capita income – than do the countries with less representative, less limited, and less free governments. (…) The fact that better governments regulate entry less, along with the straightforward interpretation of the evidence on corruption and the unofficial economy, point to the tollbooth theory: entry is regulated because doing so benefits the regulators.</w:t>
      </w:r>
      <w:r w:rsidR="005F19FC" w:rsidRPr="005F19FC">
        <w:rPr>
          <w:rFonts w:ascii="Palatino Linotype" w:eastAsia="Times New Roman" w:hAnsi="Palatino Linotype"/>
          <w:sz w:val="22"/>
          <w:lang w:val="en-US" w:eastAsia="pt-BR"/>
        </w:rPr>
        <w:t>”)</w:t>
      </w:r>
    </w:p>
    <w:p w:rsidR="009C54E7" w:rsidRDefault="009628AA"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lastRenderedPageBreak/>
        <w:t>Resta patente, assim, que</w:t>
      </w:r>
      <w:r w:rsidR="009C54E7">
        <w:rPr>
          <w:rFonts w:ascii="Palatino Linotype" w:eastAsia="Times New Roman" w:hAnsi="Palatino Linotype"/>
          <w:sz w:val="26"/>
          <w:szCs w:val="26"/>
          <w:lang w:eastAsia="pt-BR"/>
        </w:rPr>
        <w:t xml:space="preserve"> o objetivo perseguido pelo regulador, </w:t>
      </w:r>
      <w:r w:rsidR="009C54E7">
        <w:rPr>
          <w:rFonts w:ascii="Palatino Linotype" w:eastAsia="Times New Roman" w:hAnsi="Palatino Linotype"/>
          <w:i/>
          <w:sz w:val="26"/>
          <w:szCs w:val="26"/>
          <w:lang w:eastAsia="pt-BR"/>
        </w:rPr>
        <w:t>in casu</w:t>
      </w:r>
      <w:r w:rsidR="009C54E7">
        <w:rPr>
          <w:rFonts w:ascii="Palatino Linotype" w:eastAsia="Times New Roman" w:hAnsi="Palatino Linotype"/>
          <w:sz w:val="26"/>
          <w:szCs w:val="26"/>
          <w:lang w:eastAsia="pt-BR"/>
        </w:rPr>
        <w:t xml:space="preserve">, é inconstitucional, porquanto </w:t>
      </w:r>
      <w:r w:rsidR="00B53A89">
        <w:rPr>
          <w:rFonts w:ascii="Palatino Linotype" w:eastAsia="Times New Roman" w:hAnsi="Palatino Linotype"/>
          <w:sz w:val="26"/>
          <w:szCs w:val="26"/>
          <w:lang w:eastAsia="pt-BR"/>
        </w:rPr>
        <w:t xml:space="preserve">os princípios constitucionais da livre iniciativa </w:t>
      </w:r>
      <w:r w:rsidR="00B53A89" w:rsidRPr="00B53A89">
        <w:rPr>
          <w:rFonts w:ascii="Palatino Linotype" w:eastAsia="Times New Roman" w:hAnsi="Palatino Linotype"/>
          <w:sz w:val="26"/>
          <w:szCs w:val="26"/>
          <w:lang w:eastAsia="pt-BR"/>
        </w:rPr>
        <w:t>(artigos 1º, IV, e 170)</w:t>
      </w:r>
      <w:r w:rsidR="00B53A89">
        <w:rPr>
          <w:rFonts w:ascii="Palatino Linotype" w:eastAsia="Times New Roman" w:hAnsi="Palatino Linotype"/>
          <w:sz w:val="26"/>
          <w:szCs w:val="26"/>
          <w:lang w:eastAsia="pt-BR"/>
        </w:rPr>
        <w:t xml:space="preserve">, da liberdade profissional (art. 5º, XIII), </w:t>
      </w:r>
      <w:r w:rsidR="00B53A89" w:rsidRPr="00B53A89">
        <w:rPr>
          <w:rFonts w:ascii="Palatino Linotype" w:eastAsia="Times New Roman" w:hAnsi="Palatino Linotype"/>
          <w:sz w:val="26"/>
          <w:szCs w:val="26"/>
          <w:lang w:eastAsia="pt-BR"/>
        </w:rPr>
        <w:t xml:space="preserve">da igualdade (art. 5º, </w:t>
      </w:r>
      <w:r w:rsidR="00B53A89" w:rsidRPr="00B53A89">
        <w:rPr>
          <w:rFonts w:ascii="Palatino Linotype" w:eastAsia="Times New Roman" w:hAnsi="Palatino Linotype"/>
          <w:i/>
          <w:sz w:val="26"/>
          <w:szCs w:val="26"/>
          <w:lang w:eastAsia="pt-BR"/>
        </w:rPr>
        <w:t>caput</w:t>
      </w:r>
      <w:r w:rsidR="00B53A89" w:rsidRPr="00B53A89">
        <w:rPr>
          <w:rFonts w:ascii="Palatino Linotype" w:eastAsia="Times New Roman" w:hAnsi="Palatino Linotype"/>
          <w:sz w:val="26"/>
          <w:szCs w:val="26"/>
          <w:lang w:eastAsia="pt-BR"/>
        </w:rPr>
        <w:t>)</w:t>
      </w:r>
      <w:r w:rsidR="00B53A89">
        <w:rPr>
          <w:rFonts w:ascii="Palatino Linotype" w:eastAsia="Times New Roman" w:hAnsi="Palatino Linotype"/>
          <w:sz w:val="26"/>
          <w:szCs w:val="26"/>
          <w:lang w:eastAsia="pt-BR"/>
        </w:rPr>
        <w:t xml:space="preserve"> e da ampla concorrência (art. 173, § 4º) impedem ações legislativas e administrativas que preservem os interesses de agentes tradicionais do mercado em detrimento de novos entrantes e dos consumidores</w:t>
      </w:r>
      <w:r>
        <w:rPr>
          <w:rFonts w:ascii="Palatino Linotype" w:eastAsia="Times New Roman" w:hAnsi="Palatino Linotype"/>
          <w:sz w:val="26"/>
          <w:szCs w:val="26"/>
          <w:lang w:eastAsia="pt-BR"/>
        </w:rPr>
        <w:t>.</w:t>
      </w:r>
      <w:r w:rsidR="00B53A89">
        <w:rPr>
          <w:rFonts w:ascii="Palatino Linotype" w:eastAsia="Times New Roman" w:hAnsi="Palatino Linotype"/>
          <w:sz w:val="26"/>
          <w:szCs w:val="26"/>
          <w:lang w:eastAsia="pt-BR"/>
        </w:rPr>
        <w:t xml:space="preserve"> </w:t>
      </w:r>
      <w:r>
        <w:rPr>
          <w:rFonts w:ascii="Palatino Linotype" w:eastAsia="Times New Roman" w:hAnsi="Palatino Linotype"/>
          <w:sz w:val="26"/>
          <w:szCs w:val="26"/>
          <w:lang w:eastAsia="pt-BR"/>
        </w:rPr>
        <w:t>Nada obstante, d</w:t>
      </w:r>
      <w:r w:rsidR="00B53A89">
        <w:rPr>
          <w:rFonts w:ascii="Palatino Linotype" w:eastAsia="Times New Roman" w:hAnsi="Palatino Linotype"/>
          <w:sz w:val="26"/>
          <w:szCs w:val="26"/>
          <w:lang w:eastAsia="pt-BR"/>
        </w:rPr>
        <w:t>eve-se ressaltar, adicionalmente, a existência de evidências empíricas no sentido de que os serviços de transporte privado por meio de aplicativos não diminuíram o mercado de atuação dos táxis.</w:t>
      </w:r>
      <w:r w:rsidR="009F660D">
        <w:rPr>
          <w:rFonts w:ascii="Palatino Linotype" w:eastAsia="Times New Roman" w:hAnsi="Palatino Linotype"/>
          <w:sz w:val="26"/>
          <w:szCs w:val="26"/>
          <w:lang w:eastAsia="pt-BR"/>
        </w:rPr>
        <w:t xml:space="preserve"> Estudo realizado pelo </w:t>
      </w:r>
      <w:r w:rsidR="009F660D" w:rsidRPr="009F660D">
        <w:rPr>
          <w:rFonts w:ascii="Palatino Linotype" w:eastAsia="Times New Roman" w:hAnsi="Palatino Linotype"/>
          <w:sz w:val="26"/>
          <w:szCs w:val="26"/>
          <w:lang w:eastAsia="pt-BR"/>
        </w:rPr>
        <w:t>Departamento de Estudos Econômicos do Conselho Administrativo de Defesa Econômica (CADE)</w:t>
      </w:r>
      <w:r w:rsidR="009F660D">
        <w:rPr>
          <w:rFonts w:ascii="Palatino Linotype" w:eastAsia="Times New Roman" w:hAnsi="Palatino Linotype"/>
          <w:sz w:val="26"/>
          <w:szCs w:val="26"/>
          <w:lang w:eastAsia="pt-BR"/>
        </w:rPr>
        <w:t>, com dados de São Paulo, Rio de Janeiro, Belo Horizonte e Distrito Federal, demonstrou que o surgimento da plataforma Uber para a prestação de serviços de transporte individual</w:t>
      </w:r>
      <w:r w:rsidR="009453B3">
        <w:rPr>
          <w:rFonts w:ascii="Palatino Linotype" w:eastAsia="Times New Roman" w:hAnsi="Palatino Linotype"/>
          <w:sz w:val="26"/>
          <w:szCs w:val="26"/>
          <w:lang w:eastAsia="pt-BR"/>
        </w:rPr>
        <w:t xml:space="preserve"> promoveu, na realidade, um alargamento do mercado, conquistando consumidores que anteriormente não utilizavam táxis para deslocamento. Passo a transcrever as conclusões do referido estudo:</w:t>
      </w:r>
    </w:p>
    <w:p w:rsidR="009F660D" w:rsidRDefault="009F660D" w:rsidP="009F660D">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w:t>
      </w:r>
      <w:r w:rsidRPr="009F660D">
        <w:rPr>
          <w:rFonts w:ascii="Palatino Linotype" w:eastAsia="Times New Roman" w:hAnsi="Palatino Linotype"/>
          <w:sz w:val="22"/>
          <w:lang w:eastAsia="pt-BR"/>
        </w:rPr>
        <w:t>Os resultados obtidos não fornecem qualquer evidência de que o número de</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corridas de táxis contratadas nos municípios do grupo de tratamento (com</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presença do aplicativo Uber no período Depois da Entrada) tenham apresentado</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desempenho inferior aos do grupo de controle (sem presença do aplicativo Uber</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no período Depois da Entrada). Em termos de exercícios empíricos aplicados à</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 xml:space="preserve">política antitruste, isso significa que </w:t>
      </w:r>
      <w:r w:rsidRPr="009F660D">
        <w:rPr>
          <w:rFonts w:ascii="Palatino Linotype" w:eastAsia="Times New Roman" w:hAnsi="Palatino Linotype"/>
          <w:b/>
          <w:sz w:val="22"/>
          <w:u w:val="single"/>
          <w:lang w:eastAsia="pt-BR"/>
        </w:rPr>
        <w:t>não podemos sequer assumir</w:t>
      </w:r>
      <w:r w:rsidRPr="009F660D">
        <w:rPr>
          <w:rFonts w:ascii="Palatino Linotype" w:eastAsia="Times New Roman" w:hAnsi="Palatino Linotype"/>
          <w:sz w:val="22"/>
          <w:lang w:eastAsia="pt-BR"/>
        </w:rPr>
        <w:t xml:space="preserve"> (ao menos nos</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 xml:space="preserve">períodos aqui analisados) </w:t>
      </w:r>
      <w:r w:rsidRPr="009F660D">
        <w:rPr>
          <w:rFonts w:ascii="Palatino Linotype" w:eastAsia="Times New Roman" w:hAnsi="Palatino Linotype"/>
          <w:b/>
          <w:sz w:val="22"/>
          <w:u w:val="single"/>
          <w:lang w:eastAsia="pt-BR"/>
        </w:rPr>
        <w:t>a hipótese de que os serviços prestados pelo aplicativo Uber estivessem</w:t>
      </w:r>
      <w:r w:rsidRPr="009F660D">
        <w:rPr>
          <w:rFonts w:ascii="Palatino Linotype" w:eastAsia="Times New Roman" w:hAnsi="Palatino Linotype"/>
          <w:sz w:val="22"/>
          <w:lang w:eastAsia="pt-BR"/>
        </w:rPr>
        <w:t xml:space="preserve"> (até maio de 2015) </w:t>
      </w:r>
      <w:r w:rsidRPr="009F660D">
        <w:rPr>
          <w:rFonts w:ascii="Palatino Linotype" w:eastAsia="Times New Roman" w:hAnsi="Palatino Linotype"/>
          <w:b/>
          <w:sz w:val="22"/>
          <w:u w:val="single"/>
          <w:lang w:eastAsia="pt-BR"/>
        </w:rPr>
        <w:t>no mesmo mercado relevante dos serviços prestados pelos aplicativos de corridas de táxis 99taxis e Easy Taxi</w:t>
      </w:r>
      <w:r w:rsidRPr="009F660D">
        <w:rPr>
          <w:rFonts w:ascii="Palatino Linotype" w:eastAsia="Times New Roman" w:hAnsi="Palatino Linotype"/>
          <w:sz w:val="22"/>
          <w:lang w:eastAsia="pt-BR"/>
        </w:rPr>
        <w:t>.</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Adicionalmente</w:t>
      </w:r>
      <w:r w:rsidRPr="009F660D">
        <w:rPr>
          <w:rFonts w:ascii="Palatino Linotype" w:eastAsia="Times New Roman" w:hAnsi="Palatino Linotype"/>
          <w:b/>
          <w:sz w:val="22"/>
          <w:u w:val="single"/>
          <w:lang w:eastAsia="pt-BR"/>
        </w:rPr>
        <w:t>, não é possível descartar a possibilidade de que o ingresso do aplicativo Uber no mercado brasileiro de transporte individual de passageiros tenha sido patrocinado, quase que exclusivamente, pela expansão e diversificação deste mercado, ou seja, por meio do atendimento de uma demanda reprimida, até então não atendida pelos serviços prestados pelos táxis</w:t>
      </w:r>
      <w:r w:rsidRPr="009F660D">
        <w:rPr>
          <w:rFonts w:ascii="Palatino Linotype" w:eastAsia="Times New Roman" w:hAnsi="Palatino Linotype"/>
          <w:sz w:val="22"/>
          <w:lang w:eastAsia="pt-BR"/>
        </w:rPr>
        <w:t>.</w:t>
      </w:r>
    </w:p>
    <w:p w:rsidR="009F660D" w:rsidRDefault="009F660D" w:rsidP="009F660D">
      <w:pPr>
        <w:spacing w:before="100" w:beforeAutospacing="1" w:after="0" w:line="264" w:lineRule="auto"/>
        <w:ind w:left="2268" w:firstLine="0"/>
        <w:rPr>
          <w:rFonts w:ascii="Palatino Linotype" w:eastAsia="Times New Roman" w:hAnsi="Palatino Linotype"/>
          <w:sz w:val="22"/>
          <w:lang w:eastAsia="pt-BR"/>
        </w:rPr>
      </w:pPr>
      <w:r w:rsidRPr="009F660D">
        <w:rPr>
          <w:rFonts w:ascii="Palatino Linotype" w:eastAsia="Times New Roman" w:hAnsi="Palatino Linotype"/>
          <w:sz w:val="22"/>
          <w:lang w:eastAsia="pt-BR"/>
        </w:rPr>
        <w:t>Em outras palavras, a análise do período examinado, que constitui a fase de</w:t>
      </w:r>
      <w:r>
        <w:rPr>
          <w:rFonts w:ascii="Palatino Linotype" w:eastAsia="Times New Roman" w:hAnsi="Palatino Linotype"/>
          <w:sz w:val="22"/>
          <w:lang w:eastAsia="pt-BR"/>
        </w:rPr>
        <w:t xml:space="preserve"> </w:t>
      </w:r>
      <w:r w:rsidRPr="009F660D">
        <w:rPr>
          <w:rFonts w:ascii="Palatino Linotype" w:eastAsia="Times New Roman" w:hAnsi="Palatino Linotype"/>
          <w:sz w:val="22"/>
          <w:lang w:eastAsia="pt-BR"/>
        </w:rPr>
        <w:t xml:space="preserve">entrada e sedimentação do Uber em algumas </w:t>
      </w:r>
      <w:r w:rsidRPr="009F660D">
        <w:rPr>
          <w:rFonts w:ascii="Palatino Linotype" w:eastAsia="Times New Roman" w:hAnsi="Palatino Linotype"/>
          <w:sz w:val="22"/>
          <w:lang w:eastAsia="pt-BR"/>
        </w:rPr>
        <w:lastRenderedPageBreak/>
        <w:t xml:space="preserve">capitais, demonstrou que </w:t>
      </w:r>
      <w:r w:rsidRPr="009F660D">
        <w:rPr>
          <w:rFonts w:ascii="Palatino Linotype" w:eastAsia="Times New Roman" w:hAnsi="Palatino Linotype"/>
          <w:b/>
          <w:sz w:val="22"/>
          <w:lang w:eastAsia="pt-BR"/>
        </w:rPr>
        <w:t>o aplicativo, ao contrário de absorver uma parcela relevante das corridas feitas por taxis, na verdade conquistou majoritariamente novos clientes, que não utilizavam serviços de taxi</w:t>
      </w:r>
      <w:r w:rsidRPr="009F660D">
        <w:rPr>
          <w:rFonts w:ascii="Palatino Linotype" w:eastAsia="Times New Roman" w:hAnsi="Palatino Linotype"/>
          <w:sz w:val="22"/>
          <w:lang w:eastAsia="pt-BR"/>
        </w:rPr>
        <w:t xml:space="preserve">. Significa, em suma, que até o momento </w:t>
      </w:r>
      <w:r w:rsidRPr="009F660D">
        <w:rPr>
          <w:rFonts w:ascii="Palatino Linotype" w:eastAsia="Times New Roman" w:hAnsi="Palatino Linotype"/>
          <w:b/>
          <w:sz w:val="22"/>
          <w:u w:val="single"/>
          <w:lang w:eastAsia="pt-BR"/>
        </w:rPr>
        <w:t>o Uber não “usurpou” parte considerável dos clientes dos taxis nem comprometeu significativamente o negócio dos taxistas, mas sim gerou uma nova demanda</w:t>
      </w:r>
      <w:r w:rsidRPr="009F660D">
        <w:rPr>
          <w:rFonts w:ascii="Palatino Linotype" w:eastAsia="Times New Roman" w:hAnsi="Palatino Linotype"/>
          <w:sz w:val="22"/>
          <w:lang w:eastAsia="pt-BR"/>
        </w:rPr>
        <w:t>.</w:t>
      </w:r>
      <w:r>
        <w:rPr>
          <w:rFonts w:ascii="Palatino Linotype" w:eastAsia="Times New Roman" w:hAnsi="Palatino Linotype"/>
          <w:sz w:val="22"/>
          <w:lang w:eastAsia="pt-BR"/>
        </w:rPr>
        <w:t>”</w:t>
      </w:r>
    </w:p>
    <w:p w:rsidR="00B53A89" w:rsidRPr="00EC35D5" w:rsidRDefault="00EC35D5" w:rsidP="00EC35D5">
      <w:pPr>
        <w:spacing w:before="100" w:beforeAutospacing="1" w:after="0" w:line="264" w:lineRule="auto"/>
        <w:ind w:left="2268" w:firstLine="0"/>
        <w:rPr>
          <w:sz w:val="22"/>
        </w:rPr>
      </w:pPr>
      <w:r w:rsidRPr="00EC35D5">
        <w:rPr>
          <w:rFonts w:ascii="Palatino Linotype" w:eastAsia="Times New Roman" w:hAnsi="Palatino Linotype"/>
          <w:sz w:val="22"/>
          <w:lang w:eastAsia="pt-BR"/>
        </w:rPr>
        <w:t>(Departamento de Estudos Econômicos – DEE, CADE. “Rivalidade após entrada: o impacto imediato do aplicativo Uber sobre as corridas de táxi porta-a-porta”. Disponível em &lt;www.cade.gov.br&gt;)</w:t>
      </w:r>
    </w:p>
    <w:p w:rsidR="009453B3" w:rsidRDefault="009453B3" w:rsidP="00211B8E">
      <w:pPr>
        <w:spacing w:before="100" w:beforeAutospacing="1" w:after="0" w:line="264" w:lineRule="auto"/>
        <w:ind w:firstLine="567"/>
        <w:rPr>
          <w:rFonts w:ascii="Palatino Linotype" w:eastAsia="Times New Roman" w:hAnsi="Palatino Linotype"/>
          <w:sz w:val="26"/>
          <w:szCs w:val="26"/>
          <w:lang w:eastAsia="pt-BR"/>
        </w:rPr>
      </w:pPr>
      <w:r w:rsidRPr="009453B3">
        <w:rPr>
          <w:rFonts w:ascii="Palatino Linotype" w:eastAsia="Times New Roman" w:hAnsi="Palatino Linotype"/>
          <w:sz w:val="26"/>
          <w:szCs w:val="26"/>
          <w:lang w:eastAsia="pt-BR"/>
        </w:rPr>
        <w:t xml:space="preserve">À luz do exposto até aqui, conclui-se, em primeiro lugar, que a medida proibitiva do exercício privado da atividade de transporte por meio de aplicativos não pode se fundamentar na tutela dos interesses de agentes tradicionais do mercado – sejam detentores de licença, sejam taxistas em geral –, sob pena de evidente inconstitucionalidade. A captura regulatória torna suspeito o critério para a limitação de entrantes no mercado de prestadores de serviço de transporte de passageiros, violando os princípios constitucionais da igualdade (art. 5º, </w:t>
      </w:r>
      <w:r w:rsidRPr="009453B3">
        <w:rPr>
          <w:rFonts w:ascii="Palatino Linotype" w:eastAsia="Times New Roman" w:hAnsi="Palatino Linotype"/>
          <w:i/>
          <w:sz w:val="26"/>
          <w:szCs w:val="26"/>
          <w:lang w:eastAsia="pt-BR"/>
        </w:rPr>
        <w:t>caput</w:t>
      </w:r>
      <w:r w:rsidRPr="009453B3">
        <w:rPr>
          <w:rFonts w:ascii="Palatino Linotype" w:eastAsia="Times New Roman" w:hAnsi="Palatino Linotype"/>
          <w:sz w:val="26"/>
          <w:szCs w:val="26"/>
          <w:lang w:eastAsia="pt-BR"/>
        </w:rPr>
        <w:t xml:space="preserve">), da liberdade profissional (art. 5º, XIII) e da livre iniciativa (art. 1º, IV, e 170, </w:t>
      </w:r>
      <w:r w:rsidRPr="009453B3">
        <w:rPr>
          <w:rFonts w:ascii="Palatino Linotype" w:eastAsia="Times New Roman" w:hAnsi="Palatino Linotype"/>
          <w:i/>
          <w:sz w:val="26"/>
          <w:szCs w:val="26"/>
          <w:lang w:eastAsia="pt-BR"/>
        </w:rPr>
        <w:t>caput</w:t>
      </w:r>
      <w:r w:rsidRPr="009453B3">
        <w:rPr>
          <w:rFonts w:ascii="Palatino Linotype" w:eastAsia="Times New Roman" w:hAnsi="Palatino Linotype"/>
          <w:sz w:val="26"/>
          <w:szCs w:val="26"/>
          <w:lang w:eastAsia="pt-BR"/>
        </w:rPr>
        <w:t>).</w:t>
      </w:r>
    </w:p>
    <w:p w:rsidR="009453B3" w:rsidRDefault="009453B3"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Uma vez definida a inconstitucionalidade dessa primeira justificativa para a norma impugnada, passa-se a analisar a possibilidade da sua fundamentação em uma pretensa proteção do consumidor. Dito de outro modo, insta examinar se a proibição de aplicativos que oferecem serviços de transporte serve para a correção de falhas de mercado deletérias aos consumidores.</w:t>
      </w:r>
    </w:p>
    <w:p w:rsidR="005F19FC" w:rsidRDefault="00595F08" w:rsidP="00211B8E">
      <w:pPr>
        <w:spacing w:before="100" w:beforeAutospacing="1" w:after="0" w:line="264" w:lineRule="auto"/>
        <w:ind w:firstLine="567"/>
        <w:rPr>
          <w:rFonts w:ascii="Palatino Linotype" w:eastAsia="Times New Roman" w:hAnsi="Palatino Linotype"/>
          <w:sz w:val="26"/>
          <w:szCs w:val="26"/>
          <w:lang w:eastAsia="pt-BR"/>
        </w:rPr>
      </w:pPr>
      <w:r w:rsidRPr="00595F08">
        <w:rPr>
          <w:rFonts w:ascii="Palatino Linotype" w:eastAsia="Times New Roman" w:hAnsi="Palatino Linotype"/>
          <w:sz w:val="26"/>
          <w:szCs w:val="26"/>
          <w:lang w:eastAsia="pt-BR"/>
        </w:rPr>
        <w:t xml:space="preserve">O correto entendimento sobre </w:t>
      </w:r>
      <w:r>
        <w:rPr>
          <w:rFonts w:ascii="Palatino Linotype" w:eastAsia="Times New Roman" w:hAnsi="Palatino Linotype"/>
          <w:sz w:val="26"/>
          <w:szCs w:val="26"/>
          <w:lang w:eastAsia="pt-BR"/>
        </w:rPr>
        <w:t>o papel d</w:t>
      </w:r>
      <w:r w:rsidRPr="00595F08">
        <w:rPr>
          <w:rFonts w:ascii="Palatino Linotype" w:eastAsia="Times New Roman" w:hAnsi="Palatino Linotype"/>
          <w:sz w:val="26"/>
          <w:szCs w:val="26"/>
          <w:lang w:eastAsia="pt-BR"/>
        </w:rPr>
        <w:t>as inovaç</w:t>
      </w:r>
      <w:r>
        <w:rPr>
          <w:rFonts w:ascii="Palatino Linotype" w:eastAsia="Times New Roman" w:hAnsi="Palatino Linotype"/>
          <w:sz w:val="26"/>
          <w:szCs w:val="26"/>
          <w:lang w:eastAsia="pt-BR"/>
        </w:rPr>
        <w:t xml:space="preserve">ões tecnológicas no desenvolvimento da chamada “economia compartilhada” permite concluir que a explicação tradicional para a regulação de entrada no mercado de táxis </w:t>
      </w:r>
      <w:r w:rsidR="009453B3">
        <w:rPr>
          <w:rFonts w:ascii="Palatino Linotype" w:eastAsia="Times New Roman" w:hAnsi="Palatino Linotype"/>
          <w:sz w:val="26"/>
          <w:szCs w:val="26"/>
          <w:lang w:eastAsia="pt-BR"/>
        </w:rPr>
        <w:t xml:space="preserve">não </w:t>
      </w:r>
      <w:r>
        <w:rPr>
          <w:rFonts w:ascii="Palatino Linotype" w:eastAsia="Times New Roman" w:hAnsi="Palatino Linotype"/>
          <w:sz w:val="26"/>
          <w:szCs w:val="26"/>
          <w:lang w:eastAsia="pt-BR"/>
        </w:rPr>
        <w:t xml:space="preserve">se sustenta nos dias atuais, se é que </w:t>
      </w:r>
      <w:r w:rsidR="009453B3">
        <w:rPr>
          <w:rFonts w:ascii="Palatino Linotype" w:eastAsia="Times New Roman" w:hAnsi="Palatino Linotype"/>
          <w:sz w:val="26"/>
          <w:szCs w:val="26"/>
          <w:lang w:eastAsia="pt-BR"/>
        </w:rPr>
        <w:t>ess</w:t>
      </w:r>
      <w:r>
        <w:rPr>
          <w:rFonts w:ascii="Palatino Linotype" w:eastAsia="Times New Roman" w:hAnsi="Palatino Linotype"/>
          <w:sz w:val="26"/>
          <w:szCs w:val="26"/>
          <w:lang w:eastAsia="pt-BR"/>
        </w:rPr>
        <w:t xml:space="preserve">a limitação já foi razoável em algum momento histórico. De acordo com a teoria regulatória do interesse público, que tem como maior expoente o economista inglês Arthur Pigou, a regulação de entrada seria justificada pela necessidade de filtragem dos novos entrantes, por parte do governo, a fim de assegurar </w:t>
      </w:r>
      <w:r>
        <w:rPr>
          <w:rFonts w:ascii="Palatino Linotype" w:eastAsia="Times New Roman" w:hAnsi="Palatino Linotype"/>
          <w:sz w:val="26"/>
          <w:szCs w:val="26"/>
          <w:lang w:eastAsia="pt-BR"/>
        </w:rPr>
        <w:lastRenderedPageBreak/>
        <w:t>que consumidores adquirissem produtos e serviços de qualidade.</w:t>
      </w:r>
      <w:r w:rsidR="00642997">
        <w:rPr>
          <w:rFonts w:ascii="Palatino Linotype" w:eastAsia="Times New Roman" w:hAnsi="Palatino Linotype"/>
          <w:sz w:val="26"/>
          <w:szCs w:val="26"/>
          <w:lang w:eastAsia="pt-BR"/>
        </w:rPr>
        <w:t xml:space="preserve"> No mercado de táxis, o governo forneceria, com as licenças, uma pretensa confiança na qualidade dos veículos e motoristas, na previsibilidade do preço e na punição do prestador de serviço em caso de acidentes. Entretanto, como assevera a teoria regulatória do </w:t>
      </w:r>
      <w:r w:rsidR="00642997">
        <w:rPr>
          <w:rFonts w:ascii="Palatino Linotype" w:eastAsia="Times New Roman" w:hAnsi="Palatino Linotype"/>
          <w:i/>
          <w:sz w:val="26"/>
          <w:szCs w:val="26"/>
          <w:lang w:eastAsia="pt-BR"/>
        </w:rPr>
        <w:t>enforcement</w:t>
      </w:r>
      <w:r w:rsidR="00642997">
        <w:rPr>
          <w:rFonts w:ascii="Palatino Linotype" w:eastAsia="Times New Roman" w:hAnsi="Palatino Linotype"/>
          <w:sz w:val="26"/>
          <w:szCs w:val="26"/>
          <w:lang w:eastAsia="pt-BR"/>
        </w:rPr>
        <w:t>, esta proposição foi superada pela experiência prática.</w:t>
      </w:r>
    </w:p>
    <w:p w:rsidR="00D61F4C" w:rsidRDefault="00642997"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A tecnologia permitiu a redução de assimetrias de informação entre consumidores e fornecedores em patamar jamais alcançado pelos reguladores.</w:t>
      </w:r>
      <w:r w:rsidR="00D61F4C">
        <w:rPr>
          <w:rFonts w:ascii="Palatino Linotype" w:eastAsia="Times New Roman" w:hAnsi="Palatino Linotype"/>
          <w:sz w:val="26"/>
          <w:szCs w:val="26"/>
          <w:lang w:eastAsia="pt-BR"/>
        </w:rPr>
        <w:t xml:space="preserve"> Esses avanços propiciaram o surgimento da denominada “economia compartilhada”, disruptiva em diversos segmentos de mercado, </w:t>
      </w:r>
      <w:r w:rsidR="00F7770D">
        <w:rPr>
          <w:rFonts w:ascii="Palatino Linotype" w:eastAsia="Times New Roman" w:hAnsi="Palatino Linotype"/>
          <w:sz w:val="26"/>
          <w:szCs w:val="26"/>
          <w:lang w:eastAsia="pt-BR"/>
        </w:rPr>
        <w:t xml:space="preserve">cujas características são assim elencadas </w:t>
      </w:r>
      <w:r w:rsidR="00D61F4C">
        <w:rPr>
          <w:rFonts w:ascii="Palatino Linotype" w:eastAsia="Times New Roman" w:hAnsi="Palatino Linotype"/>
          <w:sz w:val="26"/>
          <w:szCs w:val="26"/>
          <w:lang w:eastAsia="pt-BR"/>
        </w:rPr>
        <w:t xml:space="preserve">pelo professor Arun Sundararajan, da </w:t>
      </w:r>
      <w:r w:rsidR="00D61F4C">
        <w:rPr>
          <w:rFonts w:ascii="Palatino Linotype" w:eastAsia="Times New Roman" w:hAnsi="Palatino Linotype"/>
          <w:i/>
          <w:sz w:val="26"/>
          <w:szCs w:val="26"/>
          <w:lang w:eastAsia="pt-BR"/>
        </w:rPr>
        <w:t>New York University’s Stern School of Business</w:t>
      </w:r>
      <w:r w:rsidR="00D61F4C">
        <w:rPr>
          <w:rFonts w:ascii="Palatino Linotype" w:eastAsia="Times New Roman" w:hAnsi="Palatino Linotype"/>
          <w:sz w:val="26"/>
          <w:szCs w:val="26"/>
          <w:lang w:eastAsia="pt-BR"/>
        </w:rPr>
        <w:t>:</w:t>
      </w:r>
    </w:p>
    <w:p w:rsidR="004D3250" w:rsidRDefault="004D3250" w:rsidP="00B2609E">
      <w:pPr>
        <w:spacing w:before="100" w:beforeAutospacing="1" w:after="0" w:line="264" w:lineRule="auto"/>
        <w:ind w:left="2268" w:firstLine="0"/>
        <w:rPr>
          <w:rFonts w:ascii="Palatino Linotype" w:eastAsia="Times New Roman" w:hAnsi="Palatino Linotype"/>
          <w:sz w:val="22"/>
          <w:lang w:eastAsia="pt-BR"/>
        </w:rPr>
      </w:pPr>
      <w:r w:rsidRPr="004D3250">
        <w:rPr>
          <w:rFonts w:ascii="Palatino Linotype" w:eastAsia="Times New Roman" w:hAnsi="Palatino Linotype"/>
          <w:sz w:val="22"/>
          <w:lang w:eastAsia="pt-BR"/>
        </w:rPr>
        <w:t>“1. Amplamente baseada no Mercado: a economia</w:t>
      </w:r>
      <w:r>
        <w:rPr>
          <w:rFonts w:ascii="Palatino Linotype" w:eastAsia="Times New Roman" w:hAnsi="Palatino Linotype"/>
          <w:sz w:val="22"/>
          <w:lang w:eastAsia="pt-BR"/>
        </w:rPr>
        <w:t xml:space="preserve"> compartilhada cria mercados que permitem a troca de bens e o surgimento de novos serviços, resultando em níveis potencialmente mais altos de atividade econômica.</w:t>
      </w:r>
    </w:p>
    <w:p w:rsidR="004D3250" w:rsidRDefault="004D3250" w:rsidP="00B2609E">
      <w:pPr>
        <w:spacing w:before="100" w:beforeAutospacing="1" w:after="0" w:line="264" w:lineRule="auto"/>
        <w:ind w:left="2268" w:firstLine="0"/>
        <w:rPr>
          <w:rFonts w:ascii="Palatino Linotype" w:eastAsia="Times New Roman" w:hAnsi="Palatino Linotype"/>
          <w:sz w:val="22"/>
          <w:lang w:eastAsia="pt-BR"/>
        </w:rPr>
      </w:pPr>
      <w:r w:rsidRPr="004D3250">
        <w:rPr>
          <w:rFonts w:ascii="Palatino Linotype" w:eastAsia="Times New Roman" w:hAnsi="Palatino Linotype"/>
          <w:sz w:val="22"/>
          <w:lang w:eastAsia="pt-BR"/>
        </w:rPr>
        <w:t>2. Capital de alto impacto: a economia compartilhaa abre novas oportunidades</w:t>
      </w:r>
      <w:r>
        <w:rPr>
          <w:rFonts w:ascii="Palatino Linotype" w:eastAsia="Times New Roman" w:hAnsi="Palatino Linotype"/>
          <w:sz w:val="22"/>
          <w:lang w:eastAsia="pt-BR"/>
        </w:rPr>
        <w:t xml:space="preserve"> para que tudo, desde bens e habilidades até tempo e dinheiro, seja utilizado a níveis próximos de sua capacidade máxima.</w:t>
      </w:r>
    </w:p>
    <w:p w:rsidR="004D3250" w:rsidRDefault="004D3250" w:rsidP="00B2609E">
      <w:pPr>
        <w:spacing w:before="100" w:beforeAutospacing="1" w:after="0" w:line="264" w:lineRule="auto"/>
        <w:ind w:left="2268" w:firstLine="0"/>
        <w:rPr>
          <w:rFonts w:ascii="Palatino Linotype" w:eastAsia="Times New Roman" w:hAnsi="Palatino Linotype"/>
          <w:sz w:val="22"/>
          <w:lang w:eastAsia="pt-BR"/>
        </w:rPr>
      </w:pPr>
      <w:r w:rsidRPr="004D3250">
        <w:rPr>
          <w:rFonts w:ascii="Palatino Linotype" w:eastAsia="Times New Roman" w:hAnsi="Palatino Linotype"/>
          <w:sz w:val="22"/>
          <w:lang w:eastAsia="pt-BR"/>
        </w:rPr>
        <w:t xml:space="preserve">3. ‘Redes’ baseadas em multidões em vez de instituições </w:t>
      </w:r>
      <w:r>
        <w:rPr>
          <w:rFonts w:ascii="Palatino Linotype" w:eastAsia="Times New Roman" w:hAnsi="Palatino Linotype"/>
          <w:sz w:val="22"/>
          <w:lang w:eastAsia="pt-BR"/>
        </w:rPr>
        <w:t>centralizadas ou ‘hierarquias’: a oferta de capital e mão-de-obra deriva de multidões descentralizadas de indivíduos em vez de agregados de empresas ou Estados; trocas futuras podem ser mediadas por ambientes de mercado distribuídos baseados em multidões em vez de terceiros centralizados.</w:t>
      </w:r>
    </w:p>
    <w:p w:rsidR="004D3250" w:rsidRDefault="004D3250" w:rsidP="00B2609E">
      <w:pPr>
        <w:spacing w:before="100" w:beforeAutospacing="1" w:after="0" w:line="264" w:lineRule="auto"/>
        <w:ind w:left="2268" w:firstLine="0"/>
        <w:rPr>
          <w:rFonts w:ascii="Palatino Linotype" w:eastAsia="Times New Roman" w:hAnsi="Palatino Linotype"/>
          <w:sz w:val="22"/>
          <w:lang w:eastAsia="pt-BR"/>
        </w:rPr>
      </w:pPr>
      <w:r w:rsidRPr="004D3250">
        <w:rPr>
          <w:rFonts w:ascii="Palatino Linotype" w:eastAsia="Times New Roman" w:hAnsi="Palatino Linotype"/>
          <w:sz w:val="22"/>
          <w:lang w:eastAsia="pt-BR"/>
        </w:rPr>
        <w:t xml:space="preserve">4. Linhas tênues entre o pessoal e o professional: a oferta de </w:t>
      </w:r>
      <w:r>
        <w:rPr>
          <w:rFonts w:ascii="Palatino Linotype" w:eastAsia="Times New Roman" w:hAnsi="Palatino Linotype"/>
          <w:sz w:val="22"/>
          <w:lang w:eastAsia="pt-BR"/>
        </w:rPr>
        <w:t xml:space="preserve">mão-de-obra e serviços frequentemente comercializa e dimensiona atividades </w:t>
      </w:r>
      <w:r>
        <w:rPr>
          <w:rFonts w:ascii="Palatino Linotype" w:eastAsia="Times New Roman" w:hAnsi="Palatino Linotype"/>
          <w:i/>
          <w:sz w:val="22"/>
          <w:lang w:eastAsia="pt-BR"/>
        </w:rPr>
        <w:t xml:space="preserve">peer-to-peer </w:t>
      </w:r>
      <w:r>
        <w:rPr>
          <w:rFonts w:ascii="Palatino Linotype" w:eastAsia="Times New Roman" w:hAnsi="Palatino Linotype"/>
          <w:sz w:val="22"/>
          <w:lang w:eastAsia="pt-BR"/>
        </w:rPr>
        <w:t>como dar uma carona a alguém ou emprestar dinheiro a alguém, atividades essas que costumavam ser consideradas ‘pessoais.’</w:t>
      </w:r>
    </w:p>
    <w:p w:rsidR="00B2609E" w:rsidRPr="00F772B4" w:rsidRDefault="004D3250" w:rsidP="00B2609E">
      <w:pPr>
        <w:spacing w:before="100" w:beforeAutospacing="1" w:after="0" w:line="264" w:lineRule="auto"/>
        <w:ind w:left="2268" w:firstLine="0"/>
        <w:rPr>
          <w:rFonts w:ascii="Palatino Linotype" w:eastAsia="Times New Roman" w:hAnsi="Palatino Linotype"/>
          <w:sz w:val="22"/>
          <w:lang w:eastAsia="pt-BR"/>
        </w:rPr>
      </w:pPr>
      <w:r w:rsidRPr="00F772B4">
        <w:rPr>
          <w:rFonts w:ascii="Palatino Linotype" w:eastAsia="Times New Roman" w:hAnsi="Palatino Linotype"/>
          <w:sz w:val="22"/>
          <w:lang w:eastAsia="pt-BR"/>
        </w:rPr>
        <w:t xml:space="preserve">5. Linhas tênues entre o trabalho </w:t>
      </w:r>
      <w:r w:rsidR="00F772B4" w:rsidRPr="00F772B4">
        <w:rPr>
          <w:rFonts w:ascii="Palatino Linotype" w:eastAsia="Times New Roman" w:hAnsi="Palatino Linotype"/>
          <w:sz w:val="22"/>
          <w:lang w:eastAsia="pt-BR"/>
        </w:rPr>
        <w:t>com vínculo de emprego e o casual, ent</w:t>
      </w:r>
      <w:r w:rsidR="00F772B4">
        <w:rPr>
          <w:rFonts w:ascii="Palatino Linotype" w:eastAsia="Times New Roman" w:hAnsi="Palatino Linotype"/>
          <w:sz w:val="22"/>
          <w:lang w:eastAsia="pt-BR"/>
        </w:rPr>
        <w:t xml:space="preserve">re o emprego independente e o dependente, entre o trabalho e o lazer: muitos trabalhos tradicionalmente de tempo integral são suplantados por trabalhos contratados que </w:t>
      </w:r>
      <w:r w:rsidR="00F772B4">
        <w:rPr>
          <w:rFonts w:ascii="Palatino Linotype" w:eastAsia="Times New Roman" w:hAnsi="Palatino Linotype"/>
          <w:sz w:val="22"/>
          <w:lang w:eastAsia="pt-BR"/>
        </w:rPr>
        <w:lastRenderedPageBreak/>
        <w:t>apresentam diversos níveis de comprometimento de tempo, granularidade, dependência econômica e empreendedorismo.</w:t>
      </w:r>
      <w:r w:rsidRPr="00F772B4">
        <w:rPr>
          <w:rFonts w:ascii="Palatino Linotype" w:eastAsia="Times New Roman" w:hAnsi="Palatino Linotype"/>
          <w:sz w:val="22"/>
          <w:lang w:eastAsia="pt-BR"/>
        </w:rPr>
        <w:t>”</w:t>
      </w:r>
    </w:p>
    <w:p w:rsidR="00DF34F6" w:rsidRPr="00B2609E" w:rsidRDefault="00B2609E" w:rsidP="00B2609E">
      <w:pPr>
        <w:spacing w:before="100" w:beforeAutospacing="1" w:after="0" w:line="264" w:lineRule="auto"/>
        <w:ind w:left="2268" w:firstLine="0"/>
        <w:rPr>
          <w:rFonts w:ascii="Palatino Linotype" w:eastAsia="Times New Roman" w:hAnsi="Palatino Linotype"/>
          <w:sz w:val="22"/>
          <w:lang w:val="en-US" w:eastAsia="pt-BR"/>
        </w:rPr>
      </w:pPr>
      <w:r w:rsidRPr="00B2609E">
        <w:rPr>
          <w:rFonts w:ascii="Palatino Linotype" w:eastAsia="Times New Roman" w:hAnsi="Palatino Linotype"/>
          <w:sz w:val="22"/>
          <w:lang w:val="en-US" w:eastAsia="pt-BR"/>
        </w:rPr>
        <w:t>(</w:t>
      </w:r>
      <w:r w:rsidR="0034396D">
        <w:rPr>
          <w:rFonts w:ascii="Palatino Linotype" w:eastAsia="Times New Roman" w:hAnsi="Palatino Linotype"/>
          <w:sz w:val="22"/>
          <w:lang w:val="en-US" w:eastAsia="pt-BR"/>
        </w:rPr>
        <w:t xml:space="preserve">SUNDARARAJAN, Arun. </w:t>
      </w:r>
      <w:r w:rsidR="0034396D" w:rsidRPr="0034396D">
        <w:rPr>
          <w:rFonts w:ascii="Palatino Linotype" w:eastAsia="Times New Roman" w:hAnsi="Palatino Linotype"/>
          <w:i/>
          <w:sz w:val="22"/>
          <w:lang w:val="en-US" w:eastAsia="pt-BR"/>
        </w:rPr>
        <w:t>The Sharing Economy</w:t>
      </w:r>
      <w:r w:rsidR="0034396D">
        <w:rPr>
          <w:rFonts w:ascii="Palatino Linotype" w:eastAsia="Times New Roman" w:hAnsi="Palatino Linotype"/>
          <w:sz w:val="22"/>
          <w:lang w:val="en-US" w:eastAsia="pt-BR"/>
        </w:rPr>
        <w:t xml:space="preserve">. Cambridge: The MIT Press, 2016. </w:t>
      </w:r>
      <w:r w:rsidRPr="00B2609E">
        <w:rPr>
          <w:rFonts w:ascii="Palatino Linotype" w:eastAsia="Times New Roman" w:hAnsi="Palatino Linotype"/>
          <w:sz w:val="22"/>
          <w:lang w:val="en-US" w:eastAsia="pt-BR"/>
        </w:rPr>
        <w:t xml:space="preserve">p. 27. No original: </w:t>
      </w:r>
      <w:r w:rsidR="00F7770D" w:rsidRPr="00B2609E">
        <w:rPr>
          <w:rFonts w:ascii="Palatino Linotype" w:eastAsia="Times New Roman" w:hAnsi="Palatino Linotype"/>
          <w:sz w:val="22"/>
          <w:lang w:val="en-US" w:eastAsia="pt-BR"/>
        </w:rPr>
        <w:t>“1. Largely market-based: the sharing economy creates markets that enable the exchange of goods and the emergence of new services, resulting in potentially</w:t>
      </w:r>
      <w:r w:rsidR="00DF34F6" w:rsidRPr="00B2609E">
        <w:rPr>
          <w:rFonts w:ascii="Palatino Linotype" w:eastAsia="Times New Roman" w:hAnsi="Palatino Linotype"/>
          <w:sz w:val="22"/>
          <w:lang w:val="en-US" w:eastAsia="pt-BR"/>
        </w:rPr>
        <w:t xml:space="preserve"> higher levels of economic activity.</w:t>
      </w:r>
    </w:p>
    <w:p w:rsidR="00DF34F6" w:rsidRPr="00B2609E" w:rsidRDefault="00DF34F6" w:rsidP="00B2609E">
      <w:pPr>
        <w:spacing w:before="100" w:beforeAutospacing="1" w:after="0" w:line="264" w:lineRule="auto"/>
        <w:ind w:left="2268" w:firstLine="0"/>
        <w:rPr>
          <w:rFonts w:ascii="Palatino Linotype" w:eastAsia="Times New Roman" w:hAnsi="Palatino Linotype"/>
          <w:sz w:val="22"/>
          <w:lang w:val="en-US" w:eastAsia="pt-BR"/>
        </w:rPr>
      </w:pPr>
      <w:r w:rsidRPr="00B2609E">
        <w:rPr>
          <w:rFonts w:ascii="Palatino Linotype" w:eastAsia="Times New Roman" w:hAnsi="Palatino Linotype"/>
          <w:sz w:val="22"/>
          <w:lang w:val="en-US" w:eastAsia="pt-BR"/>
        </w:rPr>
        <w:t>2. High-impact capital: the sharing economy opens new opportunities for everything, from assets and skills to time and money, to be used at levels closer to their full capacity.</w:t>
      </w:r>
    </w:p>
    <w:p w:rsidR="00B2609E" w:rsidRPr="00B2609E" w:rsidRDefault="00DF34F6" w:rsidP="00B2609E">
      <w:pPr>
        <w:spacing w:before="100" w:beforeAutospacing="1" w:after="0" w:line="264" w:lineRule="auto"/>
        <w:ind w:left="2268" w:firstLine="0"/>
        <w:rPr>
          <w:rFonts w:ascii="Palatino Linotype" w:eastAsia="Times New Roman" w:hAnsi="Palatino Linotype"/>
          <w:sz w:val="22"/>
          <w:lang w:val="en-US" w:eastAsia="pt-BR"/>
        </w:rPr>
      </w:pPr>
      <w:r w:rsidRPr="00B2609E">
        <w:rPr>
          <w:rFonts w:ascii="Palatino Linotype" w:eastAsia="Times New Roman" w:hAnsi="Palatino Linotype"/>
          <w:sz w:val="22"/>
          <w:lang w:val="en-US" w:eastAsia="pt-BR"/>
        </w:rPr>
        <w:t>3. Crowd-based ‘networks’ rather than centralized institutions or ‘hierarchies’: the supply of capital and labor comes from decentralized crowds of individuals rather than corporate or state aggregates; future exchange may be mediated by distributed crowd-based marketplaces rather than by centralized third parties.</w:t>
      </w:r>
    </w:p>
    <w:p w:rsidR="00B2609E" w:rsidRPr="00B2609E" w:rsidRDefault="00B2609E" w:rsidP="00B2609E">
      <w:pPr>
        <w:spacing w:before="100" w:beforeAutospacing="1" w:after="0" w:line="264" w:lineRule="auto"/>
        <w:ind w:left="2268" w:firstLine="0"/>
        <w:rPr>
          <w:rFonts w:ascii="Palatino Linotype" w:eastAsia="Times New Roman" w:hAnsi="Palatino Linotype"/>
          <w:sz w:val="22"/>
          <w:lang w:val="en-US" w:eastAsia="pt-BR"/>
        </w:rPr>
      </w:pPr>
      <w:r w:rsidRPr="00B2609E">
        <w:rPr>
          <w:rFonts w:ascii="Palatino Linotype" w:eastAsia="Times New Roman" w:hAnsi="Palatino Linotype"/>
          <w:sz w:val="22"/>
          <w:lang w:val="en-US" w:eastAsia="pt-BR"/>
        </w:rPr>
        <w:t>4. Blurring lines between the personal and the professional: the supply of labor and services often commercializes and scales peer-to-peer activities like giving someone a ride or lending someone money, activities which used to be considered ‘personal.’</w:t>
      </w:r>
    </w:p>
    <w:p w:rsidR="00D61F4C" w:rsidRPr="00B2609E" w:rsidRDefault="00B2609E" w:rsidP="00B2609E">
      <w:pPr>
        <w:spacing w:before="100" w:beforeAutospacing="1" w:after="0" w:line="264" w:lineRule="auto"/>
        <w:ind w:left="2268" w:firstLine="0"/>
        <w:rPr>
          <w:rFonts w:ascii="Palatino Linotype" w:eastAsia="Times New Roman" w:hAnsi="Palatino Linotype"/>
          <w:sz w:val="22"/>
          <w:lang w:val="en-US" w:eastAsia="pt-BR"/>
        </w:rPr>
      </w:pPr>
      <w:r w:rsidRPr="00B2609E">
        <w:rPr>
          <w:rFonts w:ascii="Palatino Linotype" w:eastAsia="Times New Roman" w:hAnsi="Palatino Linotype"/>
          <w:sz w:val="22"/>
          <w:lang w:val="en-US" w:eastAsia="pt-BR"/>
        </w:rPr>
        <w:t>5. Blurring lines between fully employed and casual labor, between independent and dependent employment, between work and leisure: many traditionally full-time jobs are supplanted by contract work that features a continuum of levels of time commitment, granularity, economic dependence, and entrepreneurship.</w:t>
      </w:r>
      <w:r w:rsidR="00F7770D" w:rsidRPr="00B2609E">
        <w:rPr>
          <w:rFonts w:ascii="Palatino Linotype" w:eastAsia="Times New Roman" w:hAnsi="Palatino Linotype"/>
          <w:sz w:val="22"/>
          <w:lang w:val="en-US" w:eastAsia="pt-BR"/>
        </w:rPr>
        <w:t>”</w:t>
      </w:r>
      <w:r w:rsidRPr="00B2609E">
        <w:rPr>
          <w:rFonts w:ascii="Palatino Linotype" w:eastAsia="Times New Roman" w:hAnsi="Palatino Linotype"/>
          <w:sz w:val="22"/>
          <w:lang w:val="en-US" w:eastAsia="pt-BR"/>
        </w:rPr>
        <w:t>)</w:t>
      </w:r>
    </w:p>
    <w:p w:rsidR="00DE2712" w:rsidRDefault="00D61F4C"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Desafiando a clássica explicação para o licenciamento de táxis, a</w:t>
      </w:r>
      <w:r w:rsidR="00642997">
        <w:rPr>
          <w:rFonts w:ascii="Palatino Linotype" w:eastAsia="Times New Roman" w:hAnsi="Palatino Linotype"/>
          <w:sz w:val="26"/>
          <w:szCs w:val="26"/>
          <w:lang w:eastAsia="pt-BR"/>
        </w:rPr>
        <w:t xml:space="preserve">plicativos de transporte de passageiros conseguem não apenas fornecer tudo o que a regulação tradicional sempre prometeu aos consumidores, mas vai ainda além: </w:t>
      </w:r>
      <w:r w:rsidR="00F501CA" w:rsidRPr="00F501CA">
        <w:rPr>
          <w:rFonts w:ascii="Palatino Linotype" w:eastAsia="Times New Roman" w:hAnsi="Palatino Linotype"/>
          <w:i/>
          <w:sz w:val="26"/>
          <w:szCs w:val="26"/>
          <w:lang w:eastAsia="pt-BR"/>
        </w:rPr>
        <w:t>(i)</w:t>
      </w:r>
      <w:r w:rsidR="00F501CA">
        <w:rPr>
          <w:rFonts w:ascii="Palatino Linotype" w:eastAsia="Times New Roman" w:hAnsi="Palatino Linotype"/>
          <w:sz w:val="26"/>
          <w:szCs w:val="26"/>
          <w:lang w:eastAsia="pt-BR"/>
        </w:rPr>
        <w:t xml:space="preserve"> </w:t>
      </w:r>
      <w:r w:rsidR="00642997">
        <w:rPr>
          <w:rFonts w:ascii="Palatino Linotype" w:eastAsia="Times New Roman" w:hAnsi="Palatino Linotype"/>
          <w:sz w:val="26"/>
          <w:szCs w:val="26"/>
          <w:lang w:eastAsia="pt-BR"/>
        </w:rPr>
        <w:t xml:space="preserve">permite ao usuário acompanhar o trajeto para impedir que o motorista adote caminho mais longo desnecessariamente; </w:t>
      </w:r>
      <w:r w:rsidR="00F501CA" w:rsidRPr="00F501CA">
        <w:rPr>
          <w:rFonts w:ascii="Palatino Linotype" w:eastAsia="Times New Roman" w:hAnsi="Palatino Linotype"/>
          <w:i/>
          <w:sz w:val="26"/>
          <w:szCs w:val="26"/>
          <w:lang w:eastAsia="pt-BR"/>
        </w:rPr>
        <w:t>(ii)</w:t>
      </w:r>
      <w:r w:rsidR="00F501CA">
        <w:rPr>
          <w:rFonts w:ascii="Palatino Linotype" w:eastAsia="Times New Roman" w:hAnsi="Palatino Linotype"/>
          <w:sz w:val="26"/>
          <w:szCs w:val="26"/>
          <w:lang w:eastAsia="pt-BR"/>
        </w:rPr>
        <w:t xml:space="preserve"> </w:t>
      </w:r>
      <w:r w:rsidR="00642997">
        <w:rPr>
          <w:rFonts w:ascii="Palatino Linotype" w:eastAsia="Times New Roman" w:hAnsi="Palatino Linotype"/>
          <w:sz w:val="26"/>
          <w:szCs w:val="26"/>
          <w:lang w:eastAsia="pt-BR"/>
        </w:rPr>
        <w:t xml:space="preserve">impede a adulteração de taxímetros; </w:t>
      </w:r>
      <w:r w:rsidR="00F501CA" w:rsidRPr="00F501CA">
        <w:rPr>
          <w:rFonts w:ascii="Palatino Linotype" w:eastAsia="Times New Roman" w:hAnsi="Palatino Linotype"/>
          <w:i/>
          <w:sz w:val="26"/>
          <w:szCs w:val="26"/>
          <w:lang w:eastAsia="pt-BR"/>
        </w:rPr>
        <w:t>(iii)</w:t>
      </w:r>
      <w:r w:rsidR="00F501CA">
        <w:rPr>
          <w:rFonts w:ascii="Palatino Linotype" w:eastAsia="Times New Roman" w:hAnsi="Palatino Linotype"/>
          <w:sz w:val="26"/>
          <w:szCs w:val="26"/>
          <w:lang w:eastAsia="pt-BR"/>
        </w:rPr>
        <w:t xml:space="preserve"> </w:t>
      </w:r>
      <w:r w:rsidR="00642997">
        <w:rPr>
          <w:rFonts w:ascii="Palatino Linotype" w:eastAsia="Times New Roman" w:hAnsi="Palatino Linotype"/>
          <w:sz w:val="26"/>
          <w:szCs w:val="26"/>
          <w:lang w:eastAsia="pt-BR"/>
        </w:rPr>
        <w:t>permite a avaliação de usuários, em benefício dos motoristas;</w:t>
      </w:r>
      <w:r w:rsidR="00F501CA">
        <w:rPr>
          <w:rFonts w:ascii="Palatino Linotype" w:eastAsia="Times New Roman" w:hAnsi="Palatino Linotype"/>
          <w:sz w:val="26"/>
          <w:szCs w:val="26"/>
          <w:lang w:eastAsia="pt-BR"/>
        </w:rPr>
        <w:t xml:space="preserve"> </w:t>
      </w:r>
      <w:r w:rsidR="00F501CA" w:rsidRPr="00F501CA">
        <w:rPr>
          <w:rFonts w:ascii="Palatino Linotype" w:eastAsia="Times New Roman" w:hAnsi="Palatino Linotype"/>
          <w:i/>
          <w:sz w:val="26"/>
          <w:szCs w:val="26"/>
          <w:lang w:eastAsia="pt-BR"/>
        </w:rPr>
        <w:t>(iv)</w:t>
      </w:r>
      <w:r w:rsidR="00F501CA">
        <w:rPr>
          <w:rFonts w:ascii="Palatino Linotype" w:eastAsia="Times New Roman" w:hAnsi="Palatino Linotype"/>
          <w:sz w:val="26"/>
          <w:szCs w:val="26"/>
          <w:lang w:eastAsia="pt-BR"/>
        </w:rPr>
        <w:t xml:space="preserve"> compartilha com os consumidores avaliações de outros usuários; </w:t>
      </w:r>
      <w:r w:rsidR="00F501CA" w:rsidRPr="00F501CA">
        <w:rPr>
          <w:rFonts w:ascii="Palatino Linotype" w:eastAsia="Times New Roman" w:hAnsi="Palatino Linotype"/>
          <w:i/>
          <w:sz w:val="26"/>
          <w:szCs w:val="26"/>
          <w:lang w:eastAsia="pt-BR"/>
        </w:rPr>
        <w:t>(v)</w:t>
      </w:r>
      <w:r w:rsidR="00F501CA">
        <w:rPr>
          <w:rFonts w:ascii="Palatino Linotype" w:eastAsia="Times New Roman" w:hAnsi="Palatino Linotype"/>
          <w:sz w:val="26"/>
          <w:szCs w:val="26"/>
          <w:lang w:eastAsia="pt-BR"/>
        </w:rPr>
        <w:t xml:space="preserve"> presta seguro aos </w:t>
      </w:r>
      <w:r w:rsidR="00F501CA">
        <w:rPr>
          <w:rFonts w:ascii="Palatino Linotype" w:eastAsia="Times New Roman" w:hAnsi="Palatino Linotype"/>
          <w:sz w:val="26"/>
          <w:szCs w:val="26"/>
          <w:lang w:eastAsia="pt-BR"/>
        </w:rPr>
        <w:lastRenderedPageBreak/>
        <w:t xml:space="preserve">passageiros; e </w:t>
      </w:r>
      <w:r w:rsidR="00F501CA" w:rsidRPr="00F501CA">
        <w:rPr>
          <w:rFonts w:ascii="Palatino Linotype" w:eastAsia="Times New Roman" w:hAnsi="Palatino Linotype"/>
          <w:i/>
          <w:sz w:val="26"/>
          <w:szCs w:val="26"/>
          <w:lang w:eastAsia="pt-BR"/>
        </w:rPr>
        <w:t>(vi)</w:t>
      </w:r>
      <w:r w:rsidR="00F501CA">
        <w:rPr>
          <w:rFonts w:ascii="Palatino Linotype" w:eastAsia="Times New Roman" w:hAnsi="Palatino Linotype"/>
          <w:sz w:val="26"/>
          <w:szCs w:val="26"/>
          <w:lang w:eastAsia="pt-BR"/>
        </w:rPr>
        <w:t xml:space="preserve"> permite o compartilhamento de corridas entre usuários distintos, barateando o serviço e tornando mais eficiente o sistema de transportes como um todo.</w:t>
      </w:r>
    </w:p>
    <w:p w:rsidR="00642997" w:rsidRDefault="00DE2712"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A tecnologia, portanto, tratou de solucionar, em definitivo, problemas classicamente entendidos como “falhas de mercado” </w:t>
      </w:r>
      <w:r w:rsidR="00100968">
        <w:rPr>
          <w:rFonts w:ascii="Palatino Linotype" w:eastAsia="Times New Roman" w:hAnsi="Palatino Linotype"/>
          <w:sz w:val="26"/>
          <w:szCs w:val="26"/>
          <w:lang w:eastAsia="pt-BR"/>
        </w:rPr>
        <w:t xml:space="preserve">antes </w:t>
      </w:r>
      <w:r>
        <w:rPr>
          <w:rFonts w:ascii="Palatino Linotype" w:eastAsia="Times New Roman" w:hAnsi="Palatino Linotype"/>
          <w:sz w:val="26"/>
          <w:szCs w:val="26"/>
          <w:lang w:eastAsia="pt-BR"/>
        </w:rPr>
        <w:t xml:space="preserve">justificadoras da intervenção regulatória, de modo que </w:t>
      </w:r>
      <w:r w:rsidR="006627CA">
        <w:rPr>
          <w:rFonts w:ascii="Palatino Linotype" w:eastAsia="Times New Roman" w:hAnsi="Palatino Linotype"/>
          <w:sz w:val="26"/>
          <w:szCs w:val="26"/>
          <w:lang w:eastAsia="pt-BR"/>
        </w:rPr>
        <w:t xml:space="preserve">essas </w:t>
      </w:r>
      <w:r>
        <w:rPr>
          <w:rFonts w:ascii="Palatino Linotype" w:eastAsia="Times New Roman" w:hAnsi="Palatino Linotype"/>
          <w:sz w:val="26"/>
          <w:szCs w:val="26"/>
          <w:lang w:eastAsia="pt-BR"/>
        </w:rPr>
        <w:t>inovações espontâneas da sociedade</w:t>
      </w:r>
      <w:r w:rsidR="0095032B">
        <w:rPr>
          <w:rFonts w:ascii="Palatino Linotype" w:eastAsia="Times New Roman" w:hAnsi="Palatino Linotype"/>
          <w:sz w:val="26"/>
          <w:szCs w:val="26"/>
          <w:lang w:eastAsia="pt-BR"/>
        </w:rPr>
        <w:t>, além de proporcionarem</w:t>
      </w:r>
      <w:r w:rsidR="006B61FE">
        <w:rPr>
          <w:rFonts w:ascii="Palatino Linotype" w:eastAsia="Times New Roman" w:hAnsi="Palatino Linotype"/>
          <w:sz w:val="26"/>
          <w:szCs w:val="26"/>
          <w:lang w:eastAsia="pt-BR"/>
        </w:rPr>
        <w:t xml:space="preserve"> nova</w:t>
      </w:r>
      <w:r w:rsidR="0095032B">
        <w:rPr>
          <w:rFonts w:ascii="Palatino Linotype" w:eastAsia="Times New Roman" w:hAnsi="Palatino Linotype"/>
          <w:sz w:val="26"/>
          <w:szCs w:val="26"/>
          <w:lang w:eastAsia="pt-BR"/>
        </w:rPr>
        <w:t xml:space="preserve">s </w:t>
      </w:r>
      <w:r w:rsidR="006B61FE">
        <w:rPr>
          <w:rFonts w:ascii="Palatino Linotype" w:eastAsia="Times New Roman" w:hAnsi="Palatino Linotype"/>
          <w:sz w:val="26"/>
          <w:szCs w:val="26"/>
          <w:lang w:eastAsia="pt-BR"/>
        </w:rPr>
        <w:t xml:space="preserve">comodidades </w:t>
      </w:r>
      <w:r w:rsidR="0095032B">
        <w:rPr>
          <w:rFonts w:ascii="Palatino Linotype" w:eastAsia="Times New Roman" w:hAnsi="Palatino Linotype"/>
          <w:sz w:val="26"/>
          <w:szCs w:val="26"/>
          <w:lang w:eastAsia="pt-BR"/>
        </w:rPr>
        <w:t>à coletividade,</w:t>
      </w:r>
      <w:r>
        <w:rPr>
          <w:rFonts w:ascii="Palatino Linotype" w:eastAsia="Times New Roman" w:hAnsi="Palatino Linotype"/>
          <w:sz w:val="26"/>
          <w:szCs w:val="26"/>
          <w:lang w:eastAsia="pt-BR"/>
        </w:rPr>
        <w:t xml:space="preserve"> </w:t>
      </w:r>
      <w:r w:rsidR="006627CA">
        <w:rPr>
          <w:rFonts w:ascii="Palatino Linotype" w:eastAsia="Times New Roman" w:hAnsi="Palatino Linotype"/>
          <w:sz w:val="26"/>
          <w:szCs w:val="26"/>
          <w:lang w:eastAsia="pt-BR"/>
        </w:rPr>
        <w:t xml:space="preserve">afastaram os inconvenientes que os custos de transação e as assimetrias de informação poderiam causar em um mercado sem barreiras de entrada. Sobre a compreensão dinâmica e evolutiva das falhas de mercado, </w:t>
      </w:r>
      <w:r w:rsidR="006627CA" w:rsidRPr="006627CA">
        <w:rPr>
          <w:rFonts w:ascii="Palatino Linotype" w:eastAsia="Times New Roman" w:hAnsi="Palatino Linotype"/>
          <w:sz w:val="26"/>
          <w:szCs w:val="26"/>
          <w:lang w:eastAsia="pt-BR"/>
        </w:rPr>
        <w:t xml:space="preserve">colho a lição do Professor da Universidade de Toronto Ejan Mackaay, </w:t>
      </w:r>
      <w:r w:rsidR="006627CA" w:rsidRPr="006627CA">
        <w:rPr>
          <w:rFonts w:ascii="Palatino Linotype" w:eastAsia="Times New Roman" w:hAnsi="Palatino Linotype"/>
          <w:i/>
          <w:sz w:val="26"/>
          <w:szCs w:val="26"/>
          <w:lang w:eastAsia="pt-BR"/>
        </w:rPr>
        <w:t>verbis</w:t>
      </w:r>
      <w:r w:rsidR="006627CA" w:rsidRPr="006627CA">
        <w:rPr>
          <w:rFonts w:ascii="Palatino Linotype" w:eastAsia="Times New Roman" w:hAnsi="Palatino Linotype"/>
          <w:sz w:val="26"/>
          <w:szCs w:val="26"/>
          <w:lang w:eastAsia="pt-BR"/>
        </w:rPr>
        <w:t>:</w:t>
      </w:r>
    </w:p>
    <w:p w:rsidR="006627CA" w:rsidRPr="00DE0342" w:rsidRDefault="006627CA" w:rsidP="006627CA">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“Os custos de transação podem evoluir ao longo do tempo. Avanços na tecnologia do transporte e da comunicação podem modificá-los. Uma regra que pode ter feito sentido como modo de correção para custos de transação substanciais em épocas anteriores pode deixar de ter justificativa quando esses custos mudam. Regulações de esgoto, água, eletricidade, telecomunicações, que pareciam justificadas enquanto essas indústrias pareciam monopólios naturais, deixaram de ser apropriadas quando avanços técnicos nos fizeram perceber que esses serviços podem muito bem ser oferecidos em caráter competitivo.”</w:t>
      </w:r>
    </w:p>
    <w:p w:rsidR="006627CA" w:rsidRPr="0000287A" w:rsidRDefault="006627CA" w:rsidP="006627CA">
      <w:pPr>
        <w:spacing w:before="100" w:beforeAutospacing="1" w:after="0" w:line="264" w:lineRule="auto"/>
        <w:ind w:left="2268" w:firstLine="0"/>
        <w:rPr>
          <w:rFonts w:ascii="Palatino Linotype" w:eastAsia="Times New Roman" w:hAnsi="Palatino Linotype"/>
          <w:sz w:val="22"/>
          <w:lang w:val="en-US" w:eastAsia="pt-BR"/>
        </w:rPr>
      </w:pPr>
      <w:r>
        <w:rPr>
          <w:rFonts w:ascii="Palatino Linotype" w:eastAsia="Times New Roman" w:hAnsi="Palatino Linotype"/>
          <w:sz w:val="22"/>
          <w:lang w:val="en-US" w:eastAsia="pt-BR"/>
        </w:rPr>
        <w:t xml:space="preserve">(No original: </w:t>
      </w:r>
      <w:r w:rsidRPr="004D7EAF">
        <w:rPr>
          <w:rFonts w:ascii="Palatino Linotype" w:eastAsia="Times New Roman" w:hAnsi="Palatino Linotype"/>
          <w:sz w:val="22"/>
          <w:lang w:val="en-US" w:eastAsia="pt-BR"/>
        </w:rPr>
        <w:t>“Transaction costs may evolve over time. Advances in transportation and communication technologies may change them. A rule that might have made sense as a correction for substantial transaction costs in earlier times may cease to be justified when these costs change. Regulation of sewage disposal, water, electricity, telecommunications that appeared justified so long as these industries looked like natural monopolies cease to be apposite when technical advances make us realise that these services can very well be offered on a competitive basis.”</w:t>
      </w:r>
      <w:r>
        <w:rPr>
          <w:rFonts w:ascii="Palatino Linotype" w:eastAsia="Times New Roman" w:hAnsi="Palatino Linotype"/>
          <w:sz w:val="22"/>
          <w:lang w:val="en-US" w:eastAsia="pt-BR"/>
        </w:rPr>
        <w:t xml:space="preserve"> </w:t>
      </w:r>
      <w:r w:rsidRPr="004D7EAF">
        <w:rPr>
          <w:rFonts w:ascii="Palatino Linotype" w:eastAsia="Times New Roman" w:hAnsi="Palatino Linotype"/>
          <w:sz w:val="22"/>
          <w:lang w:val="en-US" w:eastAsia="pt-BR"/>
        </w:rPr>
        <w:t xml:space="preserve">MACKAAY, Ejan. </w:t>
      </w:r>
      <w:r w:rsidRPr="004D7EAF">
        <w:rPr>
          <w:rFonts w:ascii="Palatino Linotype" w:eastAsia="Times New Roman" w:hAnsi="Palatino Linotype"/>
          <w:i/>
          <w:sz w:val="22"/>
          <w:lang w:val="en-US" w:eastAsia="pt-BR"/>
        </w:rPr>
        <w:t>Law and Economics for Civil Law Systems</w:t>
      </w:r>
      <w:r w:rsidRPr="004D7EAF">
        <w:rPr>
          <w:rFonts w:ascii="Palatino Linotype" w:eastAsia="Times New Roman" w:hAnsi="Palatino Linotype"/>
          <w:sz w:val="22"/>
          <w:lang w:val="en-US" w:eastAsia="pt-BR"/>
        </w:rPr>
        <w:t xml:space="preserve">. </w:t>
      </w:r>
      <w:r w:rsidRPr="0000287A">
        <w:rPr>
          <w:rFonts w:ascii="Palatino Linotype" w:eastAsia="Times New Roman" w:hAnsi="Palatino Linotype"/>
          <w:sz w:val="22"/>
          <w:lang w:val="en-US" w:eastAsia="pt-BR"/>
        </w:rPr>
        <w:t>Cheltenham: Edward Elgar, 2013. p. 11).</w:t>
      </w:r>
    </w:p>
    <w:p w:rsidR="00EC0079" w:rsidRDefault="00F56E16"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Os benefícios aos consumidores, além de evidenciados pela crescente utilização dos serviços dessas novas plataformas, também são registrados por importantes pesquisadores da área.</w:t>
      </w:r>
      <w:r w:rsidR="00317ABF">
        <w:rPr>
          <w:rFonts w:ascii="Palatino Linotype" w:eastAsia="Times New Roman" w:hAnsi="Palatino Linotype"/>
          <w:sz w:val="26"/>
          <w:szCs w:val="26"/>
          <w:lang w:eastAsia="pt-BR"/>
        </w:rPr>
        <w:t xml:space="preserve"> Um estudo elaborado por </w:t>
      </w:r>
      <w:r w:rsidR="00317ABF">
        <w:rPr>
          <w:rFonts w:ascii="Palatino Linotype" w:eastAsia="Times New Roman" w:hAnsi="Palatino Linotype"/>
          <w:sz w:val="26"/>
          <w:szCs w:val="26"/>
          <w:lang w:eastAsia="pt-BR"/>
        </w:rPr>
        <w:lastRenderedPageBreak/>
        <w:t>economistas das Universidades de Chicago e de Oxford estimou o</w:t>
      </w:r>
      <w:r w:rsidR="00DA395E">
        <w:rPr>
          <w:rFonts w:ascii="Palatino Linotype" w:eastAsia="Times New Roman" w:hAnsi="Palatino Linotype"/>
          <w:sz w:val="26"/>
          <w:szCs w:val="26"/>
          <w:lang w:eastAsia="pt-BR"/>
        </w:rPr>
        <w:t xml:space="preserve"> excedente do consumidor (</w:t>
      </w:r>
      <w:r w:rsidR="00317ABF">
        <w:rPr>
          <w:rFonts w:ascii="Palatino Linotype" w:eastAsia="Times New Roman" w:hAnsi="Palatino Linotype"/>
          <w:i/>
          <w:sz w:val="26"/>
          <w:szCs w:val="26"/>
          <w:lang w:eastAsia="pt-BR"/>
        </w:rPr>
        <w:t>consumer surplus</w:t>
      </w:r>
      <w:r w:rsidR="00DA395E">
        <w:rPr>
          <w:rFonts w:ascii="Palatino Linotype" w:eastAsia="Times New Roman" w:hAnsi="Palatino Linotype"/>
          <w:sz w:val="26"/>
          <w:szCs w:val="26"/>
          <w:lang w:eastAsia="pt-BR"/>
        </w:rPr>
        <w:t xml:space="preserve">) </w:t>
      </w:r>
      <w:r w:rsidR="00317ABF">
        <w:rPr>
          <w:rFonts w:ascii="Palatino Linotype" w:eastAsia="Times New Roman" w:hAnsi="Palatino Linotype"/>
          <w:sz w:val="26"/>
          <w:szCs w:val="26"/>
          <w:lang w:eastAsia="pt-BR"/>
        </w:rPr>
        <w:t>gerado por plataforma de serviços de transporte individual no mercado dos Estados Unidos. O</w:t>
      </w:r>
      <w:r w:rsidR="00DA395E">
        <w:rPr>
          <w:rFonts w:ascii="Palatino Linotype" w:eastAsia="Times New Roman" w:hAnsi="Palatino Linotype"/>
          <w:sz w:val="26"/>
          <w:szCs w:val="26"/>
          <w:lang w:eastAsia="pt-BR"/>
        </w:rPr>
        <w:t xml:space="preserve"> excedente do consumidor</w:t>
      </w:r>
      <w:r w:rsidR="00317ABF">
        <w:rPr>
          <w:rFonts w:ascii="Palatino Linotype" w:eastAsia="Times New Roman" w:hAnsi="Palatino Linotype"/>
          <w:sz w:val="26"/>
          <w:szCs w:val="26"/>
          <w:lang w:eastAsia="pt-BR"/>
        </w:rPr>
        <w:t xml:space="preserve"> consiste na diferença entre o benefício marginal </w:t>
      </w:r>
      <w:r w:rsidR="00DA395E">
        <w:rPr>
          <w:rFonts w:ascii="Palatino Linotype" w:eastAsia="Times New Roman" w:hAnsi="Palatino Linotype"/>
          <w:sz w:val="26"/>
          <w:szCs w:val="26"/>
          <w:lang w:eastAsia="pt-BR"/>
        </w:rPr>
        <w:t>na aquisição de um bem ou serviço e o valor efetivamente pago por ele, observado pela interação entre a curva de demanda e o preço de mercado</w:t>
      </w:r>
      <w:r w:rsidR="00317ABF">
        <w:rPr>
          <w:rFonts w:ascii="Palatino Linotype" w:eastAsia="Times New Roman" w:hAnsi="Palatino Linotype"/>
          <w:sz w:val="26"/>
          <w:szCs w:val="26"/>
          <w:lang w:eastAsia="pt-BR"/>
        </w:rPr>
        <w:t>.</w:t>
      </w:r>
      <w:r w:rsidR="00DA395E">
        <w:rPr>
          <w:rFonts w:ascii="Palatino Linotype" w:eastAsia="Times New Roman" w:hAnsi="Palatino Linotype"/>
          <w:sz w:val="26"/>
          <w:szCs w:val="26"/>
          <w:lang w:eastAsia="pt-BR"/>
        </w:rPr>
        <w:t xml:space="preserve"> Trata-se do bem-estar econômico experimentado pelos consumidores ao adquirir algo por valor inferior ao máximo que estariam dispostos a pagar.</w:t>
      </w:r>
      <w:r w:rsidR="00317ABF">
        <w:rPr>
          <w:rFonts w:ascii="Palatino Linotype" w:eastAsia="Times New Roman" w:hAnsi="Palatino Linotype"/>
          <w:sz w:val="26"/>
          <w:szCs w:val="26"/>
          <w:lang w:eastAsia="pt-BR"/>
        </w:rPr>
        <w:t xml:space="preserve"> Calculando a elasticidade da demanda à vista da variação de preços com o recurso a técnicas de econometria e </w:t>
      </w:r>
      <w:r w:rsidR="00317ABF">
        <w:rPr>
          <w:rFonts w:ascii="Palatino Linotype" w:eastAsia="Times New Roman" w:hAnsi="Palatino Linotype"/>
          <w:i/>
          <w:sz w:val="26"/>
          <w:szCs w:val="26"/>
          <w:lang w:eastAsia="pt-BR"/>
        </w:rPr>
        <w:t>big data</w:t>
      </w:r>
      <w:r w:rsidR="00317ABF">
        <w:rPr>
          <w:rFonts w:ascii="Palatino Linotype" w:eastAsia="Times New Roman" w:hAnsi="Palatino Linotype"/>
          <w:sz w:val="26"/>
          <w:szCs w:val="26"/>
          <w:lang w:eastAsia="pt-BR"/>
        </w:rPr>
        <w:t xml:space="preserve">, o estudo </w:t>
      </w:r>
      <w:r w:rsidR="00DA395E">
        <w:rPr>
          <w:rFonts w:ascii="Palatino Linotype" w:eastAsia="Times New Roman" w:hAnsi="Palatino Linotype"/>
          <w:sz w:val="26"/>
          <w:szCs w:val="26"/>
          <w:lang w:eastAsia="pt-BR"/>
        </w:rPr>
        <w:t>estima</w:t>
      </w:r>
      <w:r w:rsidR="00317ABF">
        <w:rPr>
          <w:rFonts w:ascii="Palatino Linotype" w:eastAsia="Times New Roman" w:hAnsi="Palatino Linotype"/>
          <w:sz w:val="26"/>
          <w:szCs w:val="26"/>
          <w:lang w:eastAsia="pt-BR"/>
        </w:rPr>
        <w:t xml:space="preserve"> que</w:t>
      </w:r>
      <w:r w:rsidR="00DA395E">
        <w:rPr>
          <w:rFonts w:ascii="Palatino Linotype" w:eastAsia="Times New Roman" w:hAnsi="Palatino Linotype"/>
          <w:sz w:val="26"/>
          <w:szCs w:val="26"/>
          <w:lang w:eastAsia="pt-BR"/>
        </w:rPr>
        <w:t xml:space="preserve"> apenas o serviço UberX gerou um excedente aos consumidores no total de US$ 6,8 bilhões nos Estados Unidos</w:t>
      </w:r>
      <w:r w:rsidR="00512023">
        <w:rPr>
          <w:rFonts w:ascii="Palatino Linotype" w:eastAsia="Times New Roman" w:hAnsi="Palatino Linotype"/>
          <w:sz w:val="26"/>
          <w:szCs w:val="26"/>
          <w:lang w:eastAsia="pt-BR"/>
        </w:rPr>
        <w:t xml:space="preserve"> apenas no ano de 2015</w:t>
      </w:r>
      <w:r w:rsidR="00DA395E">
        <w:rPr>
          <w:rFonts w:ascii="Palatino Linotype" w:eastAsia="Times New Roman" w:hAnsi="Palatino Linotype"/>
          <w:sz w:val="26"/>
          <w:szCs w:val="26"/>
          <w:lang w:eastAsia="pt-BR"/>
        </w:rPr>
        <w:t>.</w:t>
      </w:r>
      <w:r w:rsidR="00476A8E">
        <w:rPr>
          <w:rFonts w:ascii="Palatino Linotype" w:eastAsia="Times New Roman" w:hAnsi="Palatino Linotype"/>
          <w:sz w:val="26"/>
          <w:szCs w:val="26"/>
          <w:lang w:eastAsia="pt-BR"/>
        </w:rPr>
        <w:t xml:space="preserve"> É relevante a menção aos seguintes trechos do estudo, </w:t>
      </w:r>
      <w:r w:rsidR="00476A8E">
        <w:rPr>
          <w:rFonts w:ascii="Palatino Linotype" w:eastAsia="Times New Roman" w:hAnsi="Palatino Linotype"/>
          <w:i/>
          <w:sz w:val="26"/>
          <w:szCs w:val="26"/>
          <w:lang w:eastAsia="pt-BR"/>
        </w:rPr>
        <w:t>in verbis</w:t>
      </w:r>
      <w:r w:rsidR="00476A8E">
        <w:rPr>
          <w:rFonts w:ascii="Palatino Linotype" w:eastAsia="Times New Roman" w:hAnsi="Palatino Linotype"/>
          <w:sz w:val="26"/>
          <w:szCs w:val="26"/>
          <w:lang w:eastAsia="pt-BR"/>
        </w:rPr>
        <w:t>:</w:t>
      </w:r>
    </w:p>
    <w:p w:rsidR="00512023" w:rsidRDefault="00512023" w:rsidP="00476A8E">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“Nós obtemos amplas estimativas do excedente do consumidor gerado pelo UberX.</w:t>
      </w:r>
      <w:r w:rsidR="002264CB">
        <w:rPr>
          <w:rFonts w:ascii="Palatino Linotype" w:eastAsia="Times New Roman" w:hAnsi="Palatino Linotype"/>
          <w:sz w:val="22"/>
          <w:lang w:eastAsia="pt-BR"/>
        </w:rPr>
        <w:t xml:space="preserve"> Computamos o valor em dólar do excedente do consumidor por corridas de UberX ocorridas nos quatro maiores mercados da Uber nos Estados Unidos em 2015 (Chicago, Los Angeles, New York e San Francisco) em cerca de US$ 2,88 bilhões</w:t>
      </w:r>
      <w:r w:rsidR="00E453CC">
        <w:rPr>
          <w:rFonts w:ascii="Palatino Linotype" w:eastAsia="Times New Roman" w:hAnsi="Palatino Linotype"/>
          <w:sz w:val="22"/>
          <w:lang w:eastAsia="pt-BR"/>
        </w:rPr>
        <w:t xml:space="preserve"> anualmente</w:t>
      </w:r>
      <w:r w:rsidR="002264CB">
        <w:rPr>
          <w:rFonts w:ascii="Palatino Linotype" w:eastAsia="Times New Roman" w:hAnsi="Palatino Linotype"/>
          <w:sz w:val="22"/>
          <w:lang w:eastAsia="pt-BR"/>
        </w:rPr>
        <w:t>.</w:t>
      </w:r>
      <w:r w:rsidR="00E453CC">
        <w:rPr>
          <w:rFonts w:ascii="Palatino Linotype" w:eastAsia="Times New Roman" w:hAnsi="Palatino Linotype"/>
          <w:sz w:val="22"/>
          <w:lang w:eastAsia="pt-BR"/>
        </w:rPr>
        <w:t xml:space="preserve"> Iss</w:t>
      </w:r>
      <w:r w:rsidR="00E453CC" w:rsidRPr="00E453CC">
        <w:rPr>
          <w:rFonts w:ascii="Palatino Linotype" w:eastAsia="Times New Roman" w:hAnsi="Palatino Linotype"/>
          <w:sz w:val="22"/>
          <w:lang w:eastAsia="pt-BR"/>
        </w:rPr>
        <w:t>o equivale a mais de seis vezes a arrecadação do Uber por corridas de UberX naquelas cidades. Em 2015, essas cidades representaram aproximadamente 42,6% da arrecadação de UberX nos Estados Unidos. Se assumirmos que o excedente do consumidor é proporcional a essa arrecadação, podemos estimar um valor superior a US$ 6,76 bilhões em excedente de consumidor do UberX nos Estados Unidos. O excedente do consumidor estimado é aproximadamente 1.57 vezes superior aos gastos do consumidor efetivamente realizados. Isso significa que, para cada dólar gasto em uma corrida de UberX, estimamos que o consumidor economiza US$1,57 como excedente. Essas estimativas de excedente do consumidor são elevadas em relação aos prováveis ganhos e perdas sofridas por motoristas de táxi como consequência do ingresso do Uber no mercado (...)</w:t>
      </w:r>
      <w:r>
        <w:rPr>
          <w:rFonts w:ascii="Palatino Linotype" w:eastAsia="Times New Roman" w:hAnsi="Palatino Linotype"/>
          <w:sz w:val="22"/>
          <w:lang w:eastAsia="pt-BR"/>
        </w:rPr>
        <w:t>”</w:t>
      </w:r>
    </w:p>
    <w:p w:rsidR="00476A8E" w:rsidRPr="00476A8E" w:rsidRDefault="00512023" w:rsidP="00476A8E">
      <w:pPr>
        <w:spacing w:before="100" w:beforeAutospacing="1" w:after="0" w:line="264" w:lineRule="auto"/>
        <w:ind w:left="2268" w:firstLine="0"/>
        <w:rPr>
          <w:rFonts w:ascii="Palatino Linotype" w:eastAsia="Times New Roman" w:hAnsi="Palatino Linotype"/>
          <w:sz w:val="22"/>
          <w:lang w:eastAsia="pt-BR"/>
        </w:rPr>
      </w:pPr>
      <w:r w:rsidRPr="00512023">
        <w:rPr>
          <w:rFonts w:ascii="Palatino Linotype" w:eastAsia="Times New Roman" w:hAnsi="Palatino Linotype"/>
          <w:sz w:val="22"/>
          <w:lang w:val="en-US" w:eastAsia="pt-BR"/>
        </w:rPr>
        <w:t>(No original</w:t>
      </w:r>
      <w:r>
        <w:rPr>
          <w:rFonts w:ascii="Palatino Linotype" w:eastAsia="Times New Roman" w:hAnsi="Palatino Linotype"/>
          <w:sz w:val="22"/>
          <w:lang w:val="en-US" w:eastAsia="pt-BR"/>
        </w:rPr>
        <w:t>: “</w:t>
      </w:r>
      <w:r w:rsidR="005B0342" w:rsidRPr="00476A8E">
        <w:rPr>
          <w:rFonts w:ascii="Palatino Linotype" w:eastAsia="Times New Roman" w:hAnsi="Palatino Linotype"/>
          <w:sz w:val="22"/>
          <w:lang w:val="en-US" w:eastAsia="pt-BR"/>
        </w:rPr>
        <w:t>We obtain large estimates of the consumer surplus generated by UberX. We compute the dollar</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value of consumer surplus from UberX rides taken in Uber’s four biggest U.S. markets in 2015</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(Chicago, Los Angeles, New York, and San Francisco) to be roughly $2.88 billion (SE=$122</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 xml:space="preserve">million) annually. </w:t>
      </w:r>
      <w:r w:rsidR="005B0342" w:rsidRPr="00476A8E">
        <w:rPr>
          <w:rFonts w:ascii="Palatino Linotype" w:eastAsia="Times New Roman" w:hAnsi="Palatino Linotype"/>
          <w:sz w:val="22"/>
          <w:lang w:val="en-US" w:eastAsia="pt-BR"/>
        </w:rPr>
        <w:lastRenderedPageBreak/>
        <w:t xml:space="preserve">This is more than six times Uber’s revenues from UberX </w:t>
      </w:r>
      <w:r w:rsidR="00E453CC">
        <w:rPr>
          <w:rFonts w:ascii="Palatino Linotype" w:eastAsia="Times New Roman" w:hAnsi="Palatino Linotype"/>
          <w:sz w:val="22"/>
          <w:lang w:val="en-US" w:eastAsia="pt-BR"/>
        </w:rPr>
        <w:t>in those cities.</w:t>
      </w:r>
      <w:r w:rsidR="005B0342" w:rsidRPr="00476A8E">
        <w:rPr>
          <w:rFonts w:ascii="Palatino Linotype" w:eastAsia="Times New Roman" w:hAnsi="Palatino Linotype"/>
          <w:sz w:val="22"/>
          <w:lang w:val="en-US" w:eastAsia="pt-BR"/>
        </w:rPr>
        <w:t xml:space="preserve"> In</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2015, these cities accounted for around 42.6% of UberX US gross bookings. If we assume that</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consumer surplus is proportional to gross bookings, we can extrapolate to an estimate of $6.76</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billion in consumer surplus from UberX in the U.S. The estimated consumer surplus is</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approximately 1.57 times as large as consumer expenditures on rides taken at base pricing. That</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is, for each $1 spent on an UberX ride at 1.0x, we estimate the consumer receives $1.57 in extra</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surplus. These estimates of consumer surplus are large relative to the likely gains or losses</w:t>
      </w:r>
      <w:r w:rsidR="00476A8E">
        <w:rPr>
          <w:rFonts w:ascii="Palatino Linotype" w:eastAsia="Times New Roman" w:hAnsi="Palatino Linotype"/>
          <w:sz w:val="22"/>
          <w:lang w:val="en-US" w:eastAsia="pt-BR"/>
        </w:rPr>
        <w:t xml:space="preserve"> </w:t>
      </w:r>
      <w:r w:rsidR="005B0342" w:rsidRPr="00476A8E">
        <w:rPr>
          <w:rFonts w:ascii="Palatino Linotype" w:eastAsia="Times New Roman" w:hAnsi="Palatino Linotype"/>
          <w:sz w:val="22"/>
          <w:lang w:val="en-US" w:eastAsia="pt-BR"/>
        </w:rPr>
        <w:t>experienced by taxi drivers as a consequence of Uber’s entrance into the market</w:t>
      </w:r>
      <w:r w:rsidR="00476A8E">
        <w:rPr>
          <w:rFonts w:ascii="Palatino Linotype" w:eastAsia="Times New Roman" w:hAnsi="Palatino Linotype"/>
          <w:sz w:val="22"/>
          <w:lang w:val="en-US" w:eastAsia="pt-BR"/>
        </w:rPr>
        <w:t xml:space="preserve"> (…).</w:t>
      </w:r>
      <w:r>
        <w:rPr>
          <w:rFonts w:ascii="Palatino Linotype" w:eastAsia="Times New Roman" w:hAnsi="Palatino Linotype"/>
          <w:sz w:val="22"/>
          <w:lang w:val="en-US" w:eastAsia="pt-BR"/>
        </w:rPr>
        <w:t xml:space="preserve">” </w:t>
      </w:r>
      <w:r w:rsidR="00476A8E" w:rsidRPr="00F77F01">
        <w:rPr>
          <w:rFonts w:ascii="Palatino Linotype" w:eastAsia="Times New Roman" w:hAnsi="Palatino Linotype"/>
          <w:sz w:val="22"/>
          <w:lang w:val="en-US" w:eastAsia="pt-BR"/>
        </w:rPr>
        <w:t xml:space="preserve">LEVITT, Steven </w:t>
      </w:r>
      <w:r w:rsidR="00476A8E" w:rsidRPr="00F77F01">
        <w:rPr>
          <w:rFonts w:ascii="Palatino Linotype" w:eastAsia="Times New Roman" w:hAnsi="Palatino Linotype"/>
          <w:i/>
          <w:sz w:val="22"/>
          <w:lang w:val="en-US" w:eastAsia="pt-BR"/>
        </w:rPr>
        <w:t>et alii</w:t>
      </w:r>
      <w:r w:rsidR="00476A8E" w:rsidRPr="00F77F01">
        <w:rPr>
          <w:rFonts w:ascii="Palatino Linotype" w:eastAsia="Times New Roman" w:hAnsi="Palatino Linotype"/>
          <w:sz w:val="22"/>
          <w:lang w:val="en-US" w:eastAsia="pt-BR"/>
        </w:rPr>
        <w:t xml:space="preserve">. “Using Big Data to Estimate Consumer Surplus: The Case of Uber”. </w:t>
      </w:r>
      <w:r w:rsidR="00476A8E" w:rsidRPr="00476A8E">
        <w:rPr>
          <w:rFonts w:ascii="Palatino Linotype" w:eastAsia="Times New Roman" w:hAnsi="Palatino Linotype"/>
          <w:sz w:val="22"/>
          <w:lang w:eastAsia="pt-BR"/>
        </w:rPr>
        <w:t>NBER Working Paper No. 22627</w:t>
      </w:r>
      <w:r w:rsidR="00476A8E">
        <w:rPr>
          <w:rFonts w:ascii="Palatino Linotype" w:eastAsia="Times New Roman" w:hAnsi="Palatino Linotype"/>
          <w:sz w:val="22"/>
          <w:lang w:eastAsia="pt-BR"/>
        </w:rPr>
        <w:t>, sep. 2016. Disponível em: &lt;</w:t>
      </w:r>
      <w:r w:rsidR="00476A8E" w:rsidRPr="00476A8E">
        <w:rPr>
          <w:rFonts w:ascii="Palatino Linotype" w:eastAsia="Times New Roman" w:hAnsi="Palatino Linotype"/>
          <w:sz w:val="22"/>
          <w:lang w:eastAsia="pt-BR"/>
        </w:rPr>
        <w:t>http://www.nber.org/papers/w22627</w:t>
      </w:r>
      <w:r w:rsidR="00476A8E">
        <w:rPr>
          <w:rFonts w:ascii="Palatino Linotype" w:eastAsia="Times New Roman" w:hAnsi="Palatino Linotype"/>
          <w:sz w:val="22"/>
          <w:lang w:eastAsia="pt-BR"/>
        </w:rPr>
        <w:t>&gt;</w:t>
      </w:r>
      <w:r w:rsidR="00476A8E" w:rsidRPr="00476A8E">
        <w:rPr>
          <w:rFonts w:ascii="Palatino Linotype" w:eastAsia="Times New Roman" w:hAnsi="Palatino Linotype"/>
          <w:sz w:val="22"/>
          <w:lang w:eastAsia="pt-BR"/>
        </w:rPr>
        <w:t>)</w:t>
      </w:r>
    </w:p>
    <w:p w:rsidR="00476A8E" w:rsidRDefault="00512023"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É relevante colocar em destaque a conclusão dos renomados autores desse estudo: “</w:t>
      </w:r>
      <w:r w:rsidRPr="002264CB">
        <w:rPr>
          <w:rFonts w:ascii="Palatino Linotype" w:eastAsia="Times New Roman" w:hAnsi="Palatino Linotype"/>
          <w:sz w:val="26"/>
          <w:szCs w:val="26"/>
          <w:lang w:eastAsia="pt-BR"/>
        </w:rPr>
        <w:t>O valor de excedente do consumidor</w:t>
      </w:r>
      <w:r w:rsidR="002264CB" w:rsidRPr="002264CB">
        <w:rPr>
          <w:rFonts w:ascii="Palatino Linotype" w:eastAsia="Times New Roman" w:hAnsi="Palatino Linotype"/>
          <w:sz w:val="26"/>
          <w:szCs w:val="26"/>
          <w:lang w:eastAsia="pt-BR"/>
        </w:rPr>
        <w:t xml:space="preserve"> em um dia</w:t>
      </w:r>
      <w:r w:rsidRPr="002264CB">
        <w:rPr>
          <w:rFonts w:ascii="Palatino Linotype" w:eastAsia="Times New Roman" w:hAnsi="Palatino Linotype"/>
          <w:sz w:val="26"/>
          <w:szCs w:val="26"/>
          <w:lang w:eastAsia="pt-BR"/>
        </w:rPr>
        <w:t>, pelas nossas estimativas, é de cerca de US$ 18 milhões. Se a Uber desaparecesse inesperadamente por um dia, isso é o quanto os consumidores perderiam</w:t>
      </w:r>
      <w:r>
        <w:rPr>
          <w:rFonts w:ascii="Palatino Linotype" w:eastAsia="Times New Roman" w:hAnsi="Palatino Linotype"/>
          <w:sz w:val="26"/>
          <w:szCs w:val="26"/>
          <w:lang w:eastAsia="pt-BR"/>
        </w:rPr>
        <w:t>” (</w:t>
      </w:r>
      <w:r w:rsidR="002264CB">
        <w:rPr>
          <w:rFonts w:ascii="Palatino Linotype" w:eastAsia="Times New Roman" w:hAnsi="Palatino Linotype"/>
          <w:sz w:val="26"/>
          <w:szCs w:val="26"/>
          <w:lang w:eastAsia="pt-BR"/>
        </w:rPr>
        <w:t>“</w:t>
      </w:r>
      <w:r w:rsidR="002264CB">
        <w:rPr>
          <w:rFonts w:ascii="Palatino Linotype" w:eastAsia="Times New Roman" w:hAnsi="Palatino Linotype"/>
          <w:i/>
          <w:sz w:val="26"/>
          <w:szCs w:val="26"/>
          <w:lang w:eastAsia="pt-BR"/>
        </w:rPr>
        <w:t xml:space="preserve">One day’s worth of consumer surplus, by our estimates, is about $18 million. </w:t>
      </w:r>
      <w:r w:rsidR="002264CB" w:rsidRPr="002264CB">
        <w:rPr>
          <w:rFonts w:ascii="Palatino Linotype" w:eastAsia="Times New Roman" w:hAnsi="Palatino Linotype"/>
          <w:i/>
          <w:sz w:val="26"/>
          <w:szCs w:val="26"/>
          <w:lang w:val="en-US" w:eastAsia="pt-BR"/>
        </w:rPr>
        <w:t>If Uber were to unexpectedly disappear for a day, that i</w:t>
      </w:r>
      <w:r w:rsidR="002264CB">
        <w:rPr>
          <w:rFonts w:ascii="Palatino Linotype" w:eastAsia="Times New Roman" w:hAnsi="Palatino Linotype"/>
          <w:i/>
          <w:sz w:val="26"/>
          <w:szCs w:val="26"/>
          <w:lang w:val="en-US" w:eastAsia="pt-BR"/>
        </w:rPr>
        <w:t xml:space="preserve">s </w:t>
      </w:r>
      <w:r w:rsidR="002264CB" w:rsidRPr="002264CB">
        <w:rPr>
          <w:rFonts w:ascii="Palatino Linotype" w:eastAsia="Times New Roman" w:hAnsi="Palatino Linotype"/>
          <w:i/>
          <w:sz w:val="26"/>
          <w:szCs w:val="26"/>
          <w:lang w:val="en-US" w:eastAsia="pt-BR"/>
        </w:rPr>
        <w:t xml:space="preserve">how much consumers </w:t>
      </w:r>
      <w:r w:rsidR="002264CB">
        <w:rPr>
          <w:rFonts w:ascii="Palatino Linotype" w:eastAsia="Times New Roman" w:hAnsi="Palatino Linotype"/>
          <w:i/>
          <w:sz w:val="26"/>
          <w:szCs w:val="26"/>
          <w:lang w:val="en-US" w:eastAsia="pt-BR"/>
        </w:rPr>
        <w:t>would lose in surplus</w:t>
      </w:r>
      <w:r w:rsidR="002264CB" w:rsidRPr="002264CB">
        <w:rPr>
          <w:rFonts w:ascii="Palatino Linotype" w:eastAsia="Times New Roman" w:hAnsi="Palatino Linotype"/>
          <w:sz w:val="26"/>
          <w:szCs w:val="26"/>
          <w:lang w:val="en-US" w:eastAsia="pt-BR"/>
        </w:rPr>
        <w:t xml:space="preserve">”. </w:t>
      </w:r>
      <w:r w:rsidRPr="002264CB">
        <w:rPr>
          <w:rFonts w:ascii="Palatino Linotype" w:eastAsia="Times New Roman" w:hAnsi="Palatino Linotype"/>
          <w:i/>
          <w:sz w:val="26"/>
          <w:szCs w:val="26"/>
          <w:lang w:val="en-US" w:eastAsia="pt-BR"/>
        </w:rPr>
        <w:t>op. cit.</w:t>
      </w:r>
      <w:r w:rsidRPr="002264CB">
        <w:rPr>
          <w:rFonts w:ascii="Palatino Linotype" w:eastAsia="Times New Roman" w:hAnsi="Palatino Linotype"/>
          <w:sz w:val="26"/>
          <w:szCs w:val="26"/>
          <w:lang w:val="en-US" w:eastAsia="pt-BR"/>
        </w:rPr>
        <w:t xml:space="preserve">, p. 21). </w:t>
      </w:r>
      <w:r>
        <w:rPr>
          <w:rFonts w:ascii="Palatino Linotype" w:eastAsia="Times New Roman" w:hAnsi="Palatino Linotype"/>
          <w:sz w:val="26"/>
          <w:szCs w:val="26"/>
          <w:lang w:eastAsia="pt-BR"/>
        </w:rPr>
        <w:t xml:space="preserve">Nesses termos, impedir, por ato governamental, o funcionamento da mencionada plataforma, equivaleria a um dano anual bilionário aos consumidores norte-americanos. </w:t>
      </w:r>
      <w:r w:rsidR="00476A8E">
        <w:rPr>
          <w:rFonts w:ascii="Palatino Linotype" w:eastAsia="Times New Roman" w:hAnsi="Palatino Linotype"/>
          <w:sz w:val="26"/>
          <w:szCs w:val="26"/>
          <w:lang w:eastAsia="pt-BR"/>
        </w:rPr>
        <w:t>Considerando a franca aceitação entre os consumidores brasileiros de serviços de transporte da espécie, não há motivos para duvidar de que também no nosso país a economia compartilhada tenha proporcionado um desejável excedente do consumidor no mercado de transporte individual. Proibir a operação desses serviços, por consequência, gera efeito inverso ao objetivo de defesa do consumidor imposto pelos artigos 5º, XXXII, e 170, V, da Constituição</w:t>
      </w:r>
      <w:r w:rsidR="004A3130">
        <w:rPr>
          <w:rFonts w:ascii="Palatino Linotype" w:eastAsia="Times New Roman" w:hAnsi="Palatino Linotype"/>
          <w:sz w:val="26"/>
          <w:szCs w:val="26"/>
          <w:lang w:eastAsia="pt-BR"/>
        </w:rPr>
        <w:t>, consubstanciando desvirtuamento patente do poder regulatório do Estado</w:t>
      </w:r>
      <w:r>
        <w:rPr>
          <w:rFonts w:ascii="Palatino Linotype" w:eastAsia="Times New Roman" w:hAnsi="Palatino Linotype"/>
          <w:sz w:val="26"/>
          <w:szCs w:val="26"/>
          <w:lang w:eastAsia="pt-BR"/>
        </w:rPr>
        <w:t xml:space="preserve"> em prejuízo dos cidadãos</w:t>
      </w:r>
      <w:r w:rsidR="004A3130">
        <w:rPr>
          <w:rFonts w:ascii="Palatino Linotype" w:eastAsia="Times New Roman" w:hAnsi="Palatino Linotype"/>
          <w:sz w:val="26"/>
          <w:szCs w:val="26"/>
          <w:lang w:eastAsia="pt-BR"/>
        </w:rPr>
        <w:t>.</w:t>
      </w:r>
    </w:p>
    <w:p w:rsidR="00CD6864" w:rsidRDefault="00CD6864"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Sob o prisma da análise de proporcionalidade</w:t>
      </w:r>
      <w:r w:rsidR="004222E2">
        <w:rPr>
          <w:rFonts w:ascii="Palatino Linotype" w:eastAsia="Times New Roman" w:hAnsi="Palatino Linotype"/>
          <w:sz w:val="26"/>
          <w:szCs w:val="26"/>
          <w:lang w:eastAsia="pt-BR"/>
        </w:rPr>
        <w:t xml:space="preserve">, </w:t>
      </w:r>
      <w:r>
        <w:rPr>
          <w:rFonts w:ascii="Palatino Linotype" w:eastAsia="Times New Roman" w:hAnsi="Palatino Linotype"/>
          <w:sz w:val="26"/>
          <w:szCs w:val="26"/>
          <w:lang w:eastAsia="pt-BR"/>
        </w:rPr>
        <w:t>a norma que veda o “</w:t>
      </w:r>
      <w:r w:rsidRPr="00CD6864">
        <w:rPr>
          <w:rFonts w:ascii="Palatino Linotype" w:eastAsia="Times New Roman" w:hAnsi="Palatino Linotype"/>
          <w:i/>
          <w:sz w:val="26"/>
          <w:szCs w:val="26"/>
          <w:lang w:eastAsia="pt-BR"/>
        </w:rPr>
        <w:t>uso de carros particulares cadastrados ou não em aplicativos, para o transporte remunerado individual de pessoas</w:t>
      </w:r>
      <w:r>
        <w:rPr>
          <w:rFonts w:ascii="Palatino Linotype" w:eastAsia="Times New Roman" w:hAnsi="Palatino Linotype"/>
          <w:sz w:val="26"/>
          <w:szCs w:val="26"/>
          <w:lang w:eastAsia="pt-BR"/>
        </w:rPr>
        <w:t xml:space="preserve">” não é </w:t>
      </w:r>
      <w:r w:rsidR="0046495C" w:rsidRPr="0046495C">
        <w:rPr>
          <w:rFonts w:ascii="Palatino Linotype" w:eastAsia="Times New Roman" w:hAnsi="Palatino Linotype"/>
          <w:i/>
          <w:sz w:val="26"/>
          <w:szCs w:val="26"/>
          <w:lang w:eastAsia="pt-BR"/>
        </w:rPr>
        <w:t>n</w:t>
      </w:r>
      <w:r>
        <w:rPr>
          <w:rFonts w:ascii="Palatino Linotype" w:eastAsia="Times New Roman" w:hAnsi="Palatino Linotype"/>
          <w:i/>
          <w:sz w:val="26"/>
          <w:szCs w:val="26"/>
          <w:lang w:eastAsia="pt-BR"/>
        </w:rPr>
        <w:t>ecessária</w:t>
      </w:r>
      <w:r>
        <w:rPr>
          <w:rFonts w:ascii="Palatino Linotype" w:eastAsia="Times New Roman" w:hAnsi="Palatino Linotype"/>
          <w:sz w:val="26"/>
          <w:szCs w:val="26"/>
          <w:lang w:eastAsia="pt-BR"/>
        </w:rPr>
        <w:t xml:space="preserve"> e nem </w:t>
      </w:r>
      <w:r>
        <w:rPr>
          <w:rFonts w:ascii="Palatino Linotype" w:eastAsia="Times New Roman" w:hAnsi="Palatino Linotype"/>
          <w:i/>
          <w:sz w:val="26"/>
          <w:szCs w:val="26"/>
          <w:lang w:eastAsia="pt-BR"/>
        </w:rPr>
        <w:t>adequada</w:t>
      </w:r>
      <w:r>
        <w:rPr>
          <w:rFonts w:ascii="Palatino Linotype" w:eastAsia="Times New Roman" w:hAnsi="Palatino Linotype"/>
          <w:sz w:val="26"/>
          <w:szCs w:val="26"/>
          <w:lang w:eastAsia="pt-BR"/>
        </w:rPr>
        <w:t xml:space="preserve"> para reduzir custos de transação ou assimetrias de informação no mercado de </w:t>
      </w:r>
      <w:r>
        <w:rPr>
          <w:rFonts w:ascii="Palatino Linotype" w:eastAsia="Times New Roman" w:hAnsi="Palatino Linotype"/>
          <w:sz w:val="26"/>
          <w:szCs w:val="26"/>
          <w:lang w:eastAsia="pt-BR"/>
        </w:rPr>
        <w:lastRenderedPageBreak/>
        <w:t>consumo. Pelo contrário,</w:t>
      </w:r>
      <w:r w:rsidR="009C4F13">
        <w:rPr>
          <w:rFonts w:ascii="Palatino Linotype" w:eastAsia="Times New Roman" w:hAnsi="Palatino Linotype"/>
          <w:sz w:val="26"/>
          <w:szCs w:val="26"/>
          <w:lang w:eastAsia="pt-BR"/>
        </w:rPr>
        <w:t xml:space="preserve"> a referida proibição</w:t>
      </w:r>
      <w:r>
        <w:rPr>
          <w:rFonts w:ascii="Palatino Linotype" w:eastAsia="Times New Roman" w:hAnsi="Palatino Linotype"/>
          <w:sz w:val="26"/>
          <w:szCs w:val="26"/>
          <w:lang w:eastAsia="pt-BR"/>
        </w:rPr>
        <w:t xml:space="preserve"> impõe um alto custo social, em termos de preço e qualidade de serviços ao consumidor, oportunidades </w:t>
      </w:r>
      <w:r w:rsidR="004D7EAF">
        <w:rPr>
          <w:rFonts w:ascii="Palatino Linotype" w:eastAsia="Times New Roman" w:hAnsi="Palatino Linotype"/>
          <w:sz w:val="26"/>
          <w:szCs w:val="26"/>
          <w:lang w:eastAsia="pt-BR"/>
        </w:rPr>
        <w:t xml:space="preserve">de trabalho, dinamismo da economia </w:t>
      </w:r>
      <w:r w:rsidR="004D7EAF">
        <w:rPr>
          <w:rFonts w:ascii="Palatino Linotype" w:eastAsia="Times New Roman" w:hAnsi="Palatino Linotype"/>
          <w:i/>
          <w:sz w:val="26"/>
          <w:szCs w:val="26"/>
          <w:lang w:eastAsia="pt-BR"/>
        </w:rPr>
        <w:t>etc</w:t>
      </w:r>
      <w:r w:rsidR="004D7EAF">
        <w:rPr>
          <w:rFonts w:ascii="Palatino Linotype" w:eastAsia="Times New Roman" w:hAnsi="Palatino Linotype"/>
          <w:sz w:val="26"/>
          <w:szCs w:val="26"/>
          <w:lang w:eastAsia="pt-BR"/>
        </w:rPr>
        <w:t>., sem qualquer benef</w:t>
      </w:r>
      <w:r w:rsidR="00B957FB">
        <w:rPr>
          <w:rFonts w:ascii="Palatino Linotype" w:eastAsia="Times New Roman" w:hAnsi="Palatino Linotype"/>
          <w:sz w:val="26"/>
          <w:szCs w:val="26"/>
          <w:lang w:eastAsia="pt-BR"/>
        </w:rPr>
        <w:t>ício coletivo em contrapartida.</w:t>
      </w:r>
    </w:p>
    <w:p w:rsidR="00101BA7" w:rsidRDefault="00101BA7"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Outra possível justificativa para a medida diz respeito a preocupações urbanísticas e de ordenamento do tráfico. Argumenta-se que reguladores teriam interesse em restringir o mercado de transporte individual para ajustar a oferta e o preço do serviço com o intuito de diminuir a quantidade de carros em circulação, priorizando o transporte público, </w:t>
      </w:r>
      <w:r w:rsidR="00E970A0">
        <w:rPr>
          <w:rFonts w:ascii="Palatino Linotype" w:eastAsia="Times New Roman" w:hAnsi="Palatino Linotype"/>
          <w:sz w:val="26"/>
          <w:szCs w:val="26"/>
          <w:lang w:eastAsia="pt-BR"/>
        </w:rPr>
        <w:t xml:space="preserve">e também de favorecer a compactação das cidades, gerando incentivos para que as pessoas residam o mais próximo possível de seus destinos cotidianos e, assim, reduzindo o </w:t>
      </w:r>
      <w:r w:rsidR="00E970A0">
        <w:rPr>
          <w:rFonts w:ascii="Palatino Linotype" w:eastAsia="Times New Roman" w:hAnsi="Palatino Linotype"/>
          <w:i/>
          <w:sz w:val="26"/>
          <w:szCs w:val="26"/>
          <w:lang w:eastAsia="pt-BR"/>
        </w:rPr>
        <w:t>sprawl</w:t>
      </w:r>
      <w:r w:rsidR="00E970A0">
        <w:rPr>
          <w:rFonts w:ascii="Palatino Linotype" w:eastAsia="Times New Roman" w:hAnsi="Palatino Linotype"/>
          <w:sz w:val="26"/>
          <w:szCs w:val="26"/>
          <w:lang w:eastAsia="pt-BR"/>
        </w:rPr>
        <w:t xml:space="preserve"> urbano.</w:t>
      </w:r>
    </w:p>
    <w:p w:rsidR="00A34D14" w:rsidRDefault="0088253B"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Ainda que seja necessário aumentar o preço do deslocamento urbano em transportes individuais por variados objetivos urbanísticos, revela-se um </w:t>
      </w:r>
      <w:r>
        <w:rPr>
          <w:rFonts w:ascii="Palatino Linotype" w:eastAsia="Times New Roman" w:hAnsi="Palatino Linotype"/>
          <w:i/>
          <w:sz w:val="26"/>
          <w:szCs w:val="26"/>
          <w:lang w:eastAsia="pt-BR"/>
        </w:rPr>
        <w:t>non sequitur</w:t>
      </w:r>
      <w:r>
        <w:rPr>
          <w:rFonts w:ascii="Palatino Linotype" w:eastAsia="Times New Roman" w:hAnsi="Palatino Linotype"/>
          <w:sz w:val="26"/>
          <w:szCs w:val="26"/>
          <w:lang w:eastAsia="pt-BR"/>
        </w:rPr>
        <w:t xml:space="preserve"> que isso necessariamente deva ocorrer pela restrição de entrada no mercado.</w:t>
      </w:r>
      <w:r w:rsidR="00E51877">
        <w:rPr>
          <w:rFonts w:ascii="Palatino Linotype" w:eastAsia="Times New Roman" w:hAnsi="Palatino Linotype"/>
          <w:sz w:val="26"/>
          <w:szCs w:val="26"/>
          <w:lang w:eastAsia="pt-BR"/>
        </w:rPr>
        <w:t xml:space="preserve"> Insta rememorar que a Constituição impõe ao regulador, </w:t>
      </w:r>
      <w:r w:rsidR="0064144E">
        <w:rPr>
          <w:rFonts w:ascii="Palatino Linotype" w:eastAsia="Times New Roman" w:hAnsi="Palatino Linotype"/>
          <w:sz w:val="26"/>
          <w:szCs w:val="26"/>
          <w:lang w:eastAsia="pt-BR"/>
        </w:rPr>
        <w:t>mesmo</w:t>
      </w:r>
      <w:r w:rsidR="00E51877">
        <w:rPr>
          <w:rFonts w:ascii="Palatino Linotype" w:eastAsia="Times New Roman" w:hAnsi="Palatino Linotype"/>
          <w:sz w:val="26"/>
          <w:szCs w:val="26"/>
          <w:lang w:eastAsia="pt-BR"/>
        </w:rPr>
        <w:t xml:space="preserve"> na tarefa de ordenação das cidades, a opção </w:t>
      </w:r>
      <w:r w:rsidR="0064144E">
        <w:rPr>
          <w:rFonts w:ascii="Palatino Linotype" w:eastAsia="Times New Roman" w:hAnsi="Palatino Linotype"/>
          <w:sz w:val="26"/>
          <w:szCs w:val="26"/>
          <w:lang w:eastAsia="pt-BR"/>
        </w:rPr>
        <w:t xml:space="preserve">pela medida </w:t>
      </w:r>
      <w:r w:rsidR="00E51877">
        <w:rPr>
          <w:rFonts w:ascii="Palatino Linotype" w:eastAsia="Times New Roman" w:hAnsi="Palatino Linotype"/>
          <w:sz w:val="26"/>
          <w:szCs w:val="26"/>
          <w:lang w:eastAsia="pt-BR"/>
        </w:rPr>
        <w:t>que</w:t>
      </w:r>
      <w:r w:rsidR="005C3984">
        <w:rPr>
          <w:rFonts w:ascii="Palatino Linotype" w:eastAsia="Times New Roman" w:hAnsi="Palatino Linotype"/>
          <w:sz w:val="26"/>
          <w:szCs w:val="26"/>
          <w:lang w:eastAsia="pt-BR"/>
        </w:rPr>
        <w:t xml:space="preserve"> não</w:t>
      </w:r>
      <w:r w:rsidR="00E51877">
        <w:rPr>
          <w:rFonts w:ascii="Palatino Linotype" w:eastAsia="Times New Roman" w:hAnsi="Palatino Linotype"/>
          <w:sz w:val="26"/>
          <w:szCs w:val="26"/>
          <w:lang w:eastAsia="pt-BR"/>
        </w:rPr>
        <w:t xml:space="preserve"> exerça </w:t>
      </w:r>
      <w:r w:rsidR="005C3984">
        <w:rPr>
          <w:rFonts w:ascii="Palatino Linotype" w:eastAsia="Times New Roman" w:hAnsi="Palatino Linotype"/>
          <w:sz w:val="26"/>
          <w:szCs w:val="26"/>
          <w:lang w:eastAsia="pt-BR"/>
        </w:rPr>
        <w:t>restrições</w:t>
      </w:r>
      <w:r w:rsidR="00E51877">
        <w:rPr>
          <w:rFonts w:ascii="Palatino Linotype" w:eastAsia="Times New Roman" w:hAnsi="Palatino Linotype"/>
          <w:sz w:val="26"/>
          <w:szCs w:val="26"/>
          <w:lang w:eastAsia="pt-BR"/>
        </w:rPr>
        <w:t xml:space="preserve"> </w:t>
      </w:r>
      <w:r w:rsidR="005C3984">
        <w:rPr>
          <w:rFonts w:ascii="Palatino Linotype" w:eastAsia="Times New Roman" w:hAnsi="Palatino Linotype"/>
          <w:sz w:val="26"/>
          <w:szCs w:val="26"/>
          <w:lang w:eastAsia="pt-BR"/>
        </w:rPr>
        <w:t xml:space="preserve">injustificáveis </w:t>
      </w:r>
      <w:r w:rsidR="00E51877">
        <w:rPr>
          <w:rFonts w:ascii="Palatino Linotype" w:eastAsia="Times New Roman" w:hAnsi="Palatino Linotype"/>
          <w:sz w:val="26"/>
          <w:szCs w:val="26"/>
          <w:lang w:eastAsia="pt-BR"/>
        </w:rPr>
        <w:t xml:space="preserve">às liberdades fundamentais de iniciativa e de exercício profissional (art. 1º, IV, e 170; art. 5º, XIII, CRFB), respeitado sempre o princípio da isonomia (art. 5º, </w:t>
      </w:r>
      <w:r w:rsidR="00E51877">
        <w:rPr>
          <w:rFonts w:ascii="Palatino Linotype" w:eastAsia="Times New Roman" w:hAnsi="Palatino Linotype"/>
          <w:i/>
          <w:sz w:val="26"/>
          <w:szCs w:val="26"/>
          <w:lang w:eastAsia="pt-BR"/>
        </w:rPr>
        <w:t>caput</w:t>
      </w:r>
      <w:r w:rsidR="00E51877">
        <w:rPr>
          <w:rFonts w:ascii="Palatino Linotype" w:eastAsia="Times New Roman" w:hAnsi="Palatino Linotype"/>
          <w:sz w:val="26"/>
          <w:szCs w:val="26"/>
          <w:lang w:eastAsia="pt-BR"/>
        </w:rPr>
        <w:t>, CRFB).</w:t>
      </w:r>
      <w:r w:rsidR="00B67488">
        <w:rPr>
          <w:rFonts w:ascii="Palatino Linotype" w:eastAsia="Times New Roman" w:hAnsi="Palatino Linotype"/>
          <w:sz w:val="26"/>
          <w:szCs w:val="26"/>
          <w:lang w:eastAsia="pt-BR"/>
        </w:rPr>
        <w:t xml:space="preserve"> A necessidade de aperfeiçoar o uso das vias públicas não autoriza a criação de um oligopólio prejudicial a consumidores e potenciais prestadores de serviço no setor</w:t>
      </w:r>
      <w:r w:rsidR="00A34D14">
        <w:rPr>
          <w:rFonts w:ascii="Palatino Linotype" w:eastAsia="Times New Roman" w:hAnsi="Palatino Linotype"/>
          <w:sz w:val="26"/>
          <w:szCs w:val="26"/>
          <w:lang w:eastAsia="pt-BR"/>
        </w:rPr>
        <w:t>, notadamente quando há alternativas notoriamente conhecidas e praticadas ao redor do mundo para o enfrentamento do problema</w:t>
      </w:r>
      <w:r w:rsidR="00B67488">
        <w:rPr>
          <w:rFonts w:ascii="Palatino Linotype" w:eastAsia="Times New Roman" w:hAnsi="Palatino Linotype"/>
          <w:sz w:val="26"/>
          <w:szCs w:val="26"/>
          <w:lang w:eastAsia="pt-BR"/>
        </w:rPr>
        <w:t>.</w:t>
      </w:r>
    </w:p>
    <w:p w:rsidR="00321930" w:rsidRDefault="00A34D14" w:rsidP="000A64F0">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Causa especial perplexidade que se invoque o objetivo de melhora do tráfego para proibir precisamente serviços que criam alternativas inovadoras na redução do número de veículos em circulação, como sistemáticas de compartilhamento de corridas entre pessoas desconhecidas, por meio de algoritmos (por exemplo, o denominado “Uber pool”). </w:t>
      </w:r>
      <w:r w:rsidR="000A64F0">
        <w:rPr>
          <w:rFonts w:ascii="Palatino Linotype" w:eastAsia="Times New Roman" w:hAnsi="Palatino Linotype"/>
          <w:sz w:val="26"/>
          <w:szCs w:val="26"/>
          <w:lang w:eastAsia="pt-BR"/>
        </w:rPr>
        <w:t>A opção proibitiva também desconsidera a hipótese de que usuários do serviço dele se valham para evitar a utilização de seus veículos particulares</w:t>
      </w:r>
      <w:r w:rsidR="0001166A">
        <w:rPr>
          <w:rFonts w:ascii="Palatino Linotype" w:eastAsia="Times New Roman" w:hAnsi="Palatino Linotype"/>
          <w:sz w:val="26"/>
          <w:szCs w:val="26"/>
          <w:lang w:eastAsia="pt-BR"/>
        </w:rPr>
        <w:t>,</w:t>
      </w:r>
      <w:r w:rsidR="00DF3672">
        <w:rPr>
          <w:rFonts w:ascii="Palatino Linotype" w:eastAsia="Times New Roman" w:hAnsi="Palatino Linotype"/>
          <w:sz w:val="26"/>
          <w:szCs w:val="26"/>
          <w:lang w:eastAsia="pt-BR"/>
        </w:rPr>
        <w:t xml:space="preserve"> o que reduz</w:t>
      </w:r>
      <w:r w:rsidR="0001166A">
        <w:rPr>
          <w:rFonts w:ascii="Palatino Linotype" w:eastAsia="Times New Roman" w:hAnsi="Palatino Linotype"/>
          <w:sz w:val="26"/>
          <w:szCs w:val="26"/>
          <w:lang w:eastAsia="pt-BR"/>
        </w:rPr>
        <w:t xml:space="preserve"> a necessidade de vagas de estacionamento em </w:t>
      </w:r>
      <w:r w:rsidR="0001166A">
        <w:rPr>
          <w:rFonts w:ascii="Palatino Linotype" w:eastAsia="Times New Roman" w:hAnsi="Palatino Linotype"/>
          <w:sz w:val="26"/>
          <w:szCs w:val="26"/>
          <w:lang w:eastAsia="pt-BR"/>
        </w:rPr>
        <w:lastRenderedPageBreak/>
        <w:t>áreas de grande fluxo, influi</w:t>
      </w:r>
      <w:r w:rsidR="00DF3672">
        <w:rPr>
          <w:rFonts w:ascii="Palatino Linotype" w:eastAsia="Times New Roman" w:hAnsi="Palatino Linotype"/>
          <w:sz w:val="26"/>
          <w:szCs w:val="26"/>
          <w:lang w:eastAsia="pt-BR"/>
        </w:rPr>
        <w:t>ndo</w:t>
      </w:r>
      <w:r w:rsidR="0001166A">
        <w:rPr>
          <w:rFonts w:ascii="Palatino Linotype" w:eastAsia="Times New Roman" w:hAnsi="Palatino Linotype"/>
          <w:sz w:val="26"/>
          <w:szCs w:val="26"/>
          <w:lang w:eastAsia="pt-BR"/>
        </w:rPr>
        <w:t xml:space="preserve"> no </w:t>
      </w:r>
      <w:r w:rsidR="0001166A">
        <w:rPr>
          <w:rFonts w:ascii="Palatino Linotype" w:eastAsia="Times New Roman" w:hAnsi="Palatino Linotype"/>
          <w:i/>
          <w:sz w:val="26"/>
          <w:szCs w:val="26"/>
          <w:lang w:eastAsia="pt-BR"/>
        </w:rPr>
        <w:t>sprawl</w:t>
      </w:r>
      <w:r w:rsidR="0001166A">
        <w:rPr>
          <w:rFonts w:ascii="Palatino Linotype" w:eastAsia="Times New Roman" w:hAnsi="Palatino Linotype"/>
          <w:sz w:val="26"/>
          <w:szCs w:val="26"/>
          <w:lang w:eastAsia="pt-BR"/>
        </w:rPr>
        <w:t xml:space="preserve"> urbano, </w:t>
      </w:r>
      <w:r w:rsidR="00BA72ED">
        <w:rPr>
          <w:rFonts w:ascii="Palatino Linotype" w:eastAsia="Times New Roman" w:hAnsi="Palatino Linotype"/>
          <w:sz w:val="26"/>
          <w:szCs w:val="26"/>
          <w:lang w:eastAsia="pt-BR"/>
        </w:rPr>
        <w:t>além de</w:t>
      </w:r>
      <w:r w:rsidR="00DF3672">
        <w:rPr>
          <w:rFonts w:ascii="Palatino Linotype" w:eastAsia="Times New Roman" w:hAnsi="Palatino Linotype"/>
          <w:sz w:val="26"/>
          <w:szCs w:val="26"/>
          <w:lang w:eastAsia="pt-BR"/>
        </w:rPr>
        <w:t xml:space="preserve"> diminui</w:t>
      </w:r>
      <w:r w:rsidR="00BA72ED">
        <w:rPr>
          <w:rFonts w:ascii="Palatino Linotype" w:eastAsia="Times New Roman" w:hAnsi="Palatino Linotype"/>
          <w:sz w:val="26"/>
          <w:szCs w:val="26"/>
          <w:lang w:eastAsia="pt-BR"/>
        </w:rPr>
        <w:t>r</w:t>
      </w:r>
      <w:r w:rsidR="0001166A">
        <w:rPr>
          <w:rFonts w:ascii="Palatino Linotype" w:eastAsia="Times New Roman" w:hAnsi="Palatino Linotype"/>
          <w:sz w:val="26"/>
          <w:szCs w:val="26"/>
          <w:lang w:eastAsia="pt-BR"/>
        </w:rPr>
        <w:t xml:space="preserve"> o tráfego de motoristas à procura dessas vagas, desafogando o trânsito.</w:t>
      </w:r>
    </w:p>
    <w:p w:rsidR="004C6CB5" w:rsidRPr="00B2392F" w:rsidRDefault="00F526A3" w:rsidP="000A64F0">
      <w:pPr>
        <w:spacing w:before="100" w:beforeAutospacing="1" w:after="0" w:line="264" w:lineRule="auto"/>
        <w:ind w:firstLine="567"/>
        <w:rPr>
          <w:rFonts w:ascii="Palatino Linotype" w:eastAsia="Times New Roman" w:hAnsi="Palatino Linotype"/>
          <w:sz w:val="26"/>
          <w:szCs w:val="26"/>
          <w:lang w:val="en-US" w:eastAsia="pt-BR"/>
        </w:rPr>
      </w:pPr>
      <w:r>
        <w:rPr>
          <w:rFonts w:ascii="Palatino Linotype" w:eastAsia="Times New Roman" w:hAnsi="Palatino Linotype"/>
          <w:sz w:val="26"/>
          <w:szCs w:val="26"/>
          <w:lang w:eastAsia="pt-BR"/>
        </w:rPr>
        <w:t>Um estudo elaborado por pesquisadores averiguou a correlação entre a entrada do aplicativo Uber no mercado e o</w:t>
      </w:r>
      <w:r w:rsidR="00321930">
        <w:rPr>
          <w:rFonts w:ascii="Palatino Linotype" w:eastAsia="Times New Roman" w:hAnsi="Palatino Linotype"/>
          <w:sz w:val="26"/>
          <w:szCs w:val="26"/>
          <w:lang w:eastAsia="pt-BR"/>
        </w:rPr>
        <w:t xml:space="preserve"> congestionamento do</w:t>
      </w:r>
      <w:r>
        <w:rPr>
          <w:rFonts w:ascii="Palatino Linotype" w:eastAsia="Times New Roman" w:hAnsi="Palatino Linotype"/>
          <w:sz w:val="26"/>
          <w:szCs w:val="26"/>
          <w:lang w:eastAsia="pt-BR"/>
        </w:rPr>
        <w:t xml:space="preserve"> trânsito em áreas urbanas dos Estados Unidos, aplicando a técnica de econometria denominada “diferenças em diferenças”, que considera os cenários anteriores e posteriores ao ingresso do fator analisado nos grupos de teste e de controle. Os autores </w:t>
      </w:r>
      <w:r w:rsidR="00B17C65">
        <w:rPr>
          <w:rFonts w:ascii="Palatino Linotype" w:eastAsia="Times New Roman" w:hAnsi="Palatino Linotype"/>
          <w:sz w:val="26"/>
          <w:szCs w:val="26"/>
          <w:lang w:eastAsia="pt-BR"/>
        </w:rPr>
        <w:t>definiram suas conclusões nos seguintes termos: “Nossos resultados fornecem evidências empíricas de que serviços de compartilhamento de corridas como o Uber diminuem significativamente o congestionamento de trânsito após entrar em funcionamento em uma área urbana” (</w:t>
      </w:r>
      <w:r w:rsidR="000A64F0" w:rsidRPr="00B17C65">
        <w:rPr>
          <w:rFonts w:ascii="Palatino Linotype" w:eastAsia="Times New Roman" w:hAnsi="Palatino Linotype"/>
          <w:sz w:val="26"/>
          <w:szCs w:val="26"/>
          <w:lang w:eastAsia="pt-BR"/>
        </w:rPr>
        <w:t>“</w:t>
      </w:r>
      <w:r w:rsidR="000A64F0" w:rsidRPr="00B17C65">
        <w:rPr>
          <w:rFonts w:ascii="Palatino Linotype" w:eastAsia="Times New Roman" w:hAnsi="Palatino Linotype"/>
          <w:i/>
          <w:sz w:val="26"/>
          <w:szCs w:val="26"/>
          <w:lang w:eastAsia="pt-BR"/>
        </w:rPr>
        <w:t>Our findings provide empirical evidence that ride-sharing services such as Uber significantly decrease the traffic congestion after entering an urban area</w:t>
      </w:r>
      <w:r w:rsidR="000A64F0" w:rsidRPr="00B17C65">
        <w:rPr>
          <w:rFonts w:ascii="Palatino Linotype" w:eastAsia="Times New Roman" w:hAnsi="Palatino Linotype"/>
          <w:sz w:val="26"/>
          <w:szCs w:val="26"/>
          <w:lang w:eastAsia="pt-BR"/>
        </w:rPr>
        <w:t>.”</w:t>
      </w:r>
      <w:r w:rsidR="00B17C65">
        <w:rPr>
          <w:rFonts w:ascii="Palatino Linotype" w:eastAsia="Times New Roman" w:hAnsi="Palatino Linotype"/>
          <w:sz w:val="26"/>
          <w:szCs w:val="26"/>
          <w:lang w:eastAsia="pt-BR"/>
        </w:rPr>
        <w:t xml:space="preserve"> </w:t>
      </w:r>
      <w:r w:rsidR="003728F6" w:rsidRPr="000A64F0">
        <w:rPr>
          <w:rFonts w:ascii="Palatino Linotype" w:eastAsia="Times New Roman" w:hAnsi="Palatino Linotype"/>
          <w:sz w:val="26"/>
          <w:szCs w:val="26"/>
          <w:lang w:val="en-US" w:eastAsia="pt-BR"/>
        </w:rPr>
        <w:t>LI</w:t>
      </w:r>
      <w:r w:rsidR="003728F6">
        <w:rPr>
          <w:rFonts w:ascii="Palatino Linotype" w:eastAsia="Times New Roman" w:hAnsi="Palatino Linotype"/>
          <w:sz w:val="26"/>
          <w:szCs w:val="26"/>
          <w:lang w:val="en-US" w:eastAsia="pt-BR"/>
        </w:rPr>
        <w:t>, Ziru;</w:t>
      </w:r>
      <w:r w:rsidR="000A64F0" w:rsidRPr="000A64F0">
        <w:rPr>
          <w:rFonts w:ascii="Palatino Linotype" w:eastAsia="Times New Roman" w:hAnsi="Palatino Linotype"/>
          <w:sz w:val="26"/>
          <w:szCs w:val="26"/>
          <w:lang w:val="en-US" w:eastAsia="pt-BR"/>
        </w:rPr>
        <w:t xml:space="preserve"> </w:t>
      </w:r>
      <w:r w:rsidR="003728F6" w:rsidRPr="000A64F0">
        <w:rPr>
          <w:rFonts w:ascii="Palatino Linotype" w:eastAsia="Times New Roman" w:hAnsi="Palatino Linotype"/>
          <w:sz w:val="26"/>
          <w:szCs w:val="26"/>
          <w:lang w:val="en-US" w:eastAsia="pt-BR"/>
        </w:rPr>
        <w:t>HONG</w:t>
      </w:r>
      <w:r w:rsidR="000A64F0" w:rsidRPr="000A64F0">
        <w:rPr>
          <w:rFonts w:ascii="Palatino Linotype" w:eastAsia="Times New Roman" w:hAnsi="Palatino Linotype"/>
          <w:sz w:val="26"/>
          <w:szCs w:val="26"/>
          <w:lang w:val="en-US" w:eastAsia="pt-BR"/>
        </w:rPr>
        <w:t>, Yili</w:t>
      </w:r>
      <w:r w:rsidR="003728F6">
        <w:rPr>
          <w:rFonts w:ascii="Palatino Linotype" w:eastAsia="Times New Roman" w:hAnsi="Palatino Linotype"/>
          <w:sz w:val="26"/>
          <w:szCs w:val="26"/>
          <w:lang w:val="en-US" w:eastAsia="pt-BR"/>
        </w:rPr>
        <w:t>;</w:t>
      </w:r>
      <w:r w:rsidR="000A64F0" w:rsidRPr="000A64F0">
        <w:rPr>
          <w:rFonts w:ascii="Palatino Linotype" w:eastAsia="Times New Roman" w:hAnsi="Palatino Linotype"/>
          <w:sz w:val="26"/>
          <w:szCs w:val="26"/>
          <w:lang w:val="en-US" w:eastAsia="pt-BR"/>
        </w:rPr>
        <w:t xml:space="preserve"> </w:t>
      </w:r>
      <w:r w:rsidR="003728F6" w:rsidRPr="000A64F0">
        <w:rPr>
          <w:rFonts w:ascii="Palatino Linotype" w:eastAsia="Times New Roman" w:hAnsi="Palatino Linotype"/>
          <w:sz w:val="26"/>
          <w:szCs w:val="26"/>
          <w:lang w:val="en-US" w:eastAsia="pt-BR"/>
        </w:rPr>
        <w:t>ZHANG</w:t>
      </w:r>
      <w:r w:rsidR="003728F6">
        <w:rPr>
          <w:rFonts w:ascii="Palatino Linotype" w:eastAsia="Times New Roman" w:hAnsi="Palatino Linotype"/>
          <w:sz w:val="26"/>
          <w:szCs w:val="26"/>
          <w:lang w:val="en-US" w:eastAsia="pt-BR"/>
        </w:rPr>
        <w:t>, Zhongju.</w:t>
      </w:r>
      <w:r w:rsidR="000A64F0" w:rsidRPr="000A64F0">
        <w:rPr>
          <w:rFonts w:ascii="Palatino Linotype" w:eastAsia="Times New Roman" w:hAnsi="Palatino Linotype"/>
          <w:sz w:val="26"/>
          <w:szCs w:val="26"/>
          <w:lang w:val="en-US" w:eastAsia="pt-BR"/>
        </w:rPr>
        <w:t xml:space="preserve"> </w:t>
      </w:r>
      <w:r w:rsidR="003728F6">
        <w:rPr>
          <w:rFonts w:ascii="Palatino Linotype" w:eastAsia="Times New Roman" w:hAnsi="Palatino Linotype"/>
          <w:sz w:val="26"/>
          <w:szCs w:val="26"/>
          <w:lang w:val="en-US" w:eastAsia="pt-BR"/>
        </w:rPr>
        <w:t>“</w:t>
      </w:r>
      <w:r w:rsidR="000A64F0" w:rsidRPr="003728F6">
        <w:rPr>
          <w:rFonts w:ascii="Palatino Linotype" w:eastAsia="Times New Roman" w:hAnsi="Palatino Linotype"/>
          <w:i/>
          <w:sz w:val="26"/>
          <w:szCs w:val="26"/>
          <w:lang w:val="en-US" w:eastAsia="pt-BR"/>
        </w:rPr>
        <w:t>Do Ride-Sharing Services Affect Traffic Congestion? An Empirical Study of Uber Entry</w:t>
      </w:r>
      <w:r w:rsidR="003728F6">
        <w:rPr>
          <w:rFonts w:ascii="Palatino Linotype" w:eastAsia="Times New Roman" w:hAnsi="Palatino Linotype"/>
          <w:sz w:val="26"/>
          <w:szCs w:val="26"/>
          <w:lang w:val="en-US" w:eastAsia="pt-BR"/>
        </w:rPr>
        <w:t>”.</w:t>
      </w:r>
      <w:r w:rsidR="000A64F0" w:rsidRPr="000A64F0">
        <w:rPr>
          <w:rFonts w:ascii="Palatino Linotype" w:eastAsia="Times New Roman" w:hAnsi="Palatino Linotype"/>
          <w:sz w:val="26"/>
          <w:szCs w:val="26"/>
          <w:lang w:val="en-US" w:eastAsia="pt-BR"/>
        </w:rPr>
        <w:t xml:space="preserve"> </w:t>
      </w:r>
      <w:r w:rsidR="000A64F0" w:rsidRPr="00B2392F">
        <w:rPr>
          <w:rFonts w:ascii="Palatino Linotype" w:eastAsia="Times New Roman" w:hAnsi="Palatino Linotype"/>
          <w:sz w:val="26"/>
          <w:szCs w:val="26"/>
          <w:lang w:val="en-US" w:eastAsia="pt-BR"/>
        </w:rPr>
        <w:t xml:space="preserve">(2016). </w:t>
      </w:r>
      <w:r w:rsidR="003728F6" w:rsidRPr="00B2392F">
        <w:rPr>
          <w:rFonts w:ascii="Palatino Linotype" w:eastAsia="Times New Roman" w:hAnsi="Palatino Linotype"/>
          <w:sz w:val="26"/>
          <w:szCs w:val="26"/>
          <w:lang w:val="en-US" w:eastAsia="pt-BR"/>
        </w:rPr>
        <w:t>Disponível em</w:t>
      </w:r>
      <w:r w:rsidR="000A64F0" w:rsidRPr="00B2392F">
        <w:rPr>
          <w:rFonts w:ascii="Palatino Linotype" w:eastAsia="Times New Roman" w:hAnsi="Palatino Linotype"/>
          <w:sz w:val="26"/>
          <w:szCs w:val="26"/>
          <w:lang w:val="en-US" w:eastAsia="pt-BR"/>
        </w:rPr>
        <w:t xml:space="preserve">: </w:t>
      </w:r>
      <w:r w:rsidR="00DB0ECC" w:rsidRPr="00B2392F">
        <w:rPr>
          <w:rFonts w:ascii="Palatino Linotype" w:eastAsia="Times New Roman" w:hAnsi="Palatino Linotype"/>
          <w:sz w:val="26"/>
          <w:szCs w:val="26"/>
          <w:lang w:val="en-US" w:eastAsia="pt-BR"/>
        </w:rPr>
        <w:t>&lt;</w:t>
      </w:r>
      <w:r w:rsidR="000A64F0" w:rsidRPr="00B2392F">
        <w:rPr>
          <w:rFonts w:ascii="Palatino Linotype" w:eastAsia="Times New Roman" w:hAnsi="Palatino Linotype"/>
          <w:sz w:val="26"/>
          <w:szCs w:val="26"/>
          <w:lang w:val="en-US" w:eastAsia="pt-BR"/>
        </w:rPr>
        <w:t>https://ssrn.com/abstract=2838043</w:t>
      </w:r>
      <w:r w:rsidR="00DB0ECC" w:rsidRPr="00B2392F">
        <w:rPr>
          <w:rFonts w:ascii="Palatino Linotype" w:eastAsia="Times New Roman" w:hAnsi="Palatino Linotype"/>
          <w:sz w:val="26"/>
          <w:szCs w:val="26"/>
          <w:lang w:val="en-US" w:eastAsia="pt-BR"/>
        </w:rPr>
        <w:t>&gt;</w:t>
      </w:r>
      <w:r w:rsidR="003728F6" w:rsidRPr="00B2392F">
        <w:rPr>
          <w:rFonts w:ascii="Palatino Linotype" w:eastAsia="Times New Roman" w:hAnsi="Palatino Linotype"/>
          <w:sz w:val="26"/>
          <w:szCs w:val="26"/>
          <w:lang w:val="en-US" w:eastAsia="pt-BR"/>
        </w:rPr>
        <w:t>)</w:t>
      </w:r>
      <w:r w:rsidR="00B17C65" w:rsidRPr="00B2392F">
        <w:rPr>
          <w:rFonts w:ascii="Palatino Linotype" w:eastAsia="Times New Roman" w:hAnsi="Palatino Linotype"/>
          <w:sz w:val="26"/>
          <w:szCs w:val="26"/>
          <w:lang w:val="en-US" w:eastAsia="pt-BR"/>
        </w:rPr>
        <w:t>.</w:t>
      </w:r>
    </w:p>
    <w:p w:rsidR="009C0810" w:rsidRPr="004C6CB5" w:rsidRDefault="009C0810" w:rsidP="004C6CB5">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A própria prefeitura de Nova York opinou contrariamente a uma proposta de limitação do número de motoristas em circulação operando por aplicativos de transporte, </w:t>
      </w:r>
      <w:r w:rsidR="00C64CF6">
        <w:rPr>
          <w:rFonts w:ascii="Palatino Linotype" w:eastAsia="Times New Roman" w:hAnsi="Palatino Linotype"/>
          <w:sz w:val="26"/>
          <w:szCs w:val="26"/>
          <w:lang w:eastAsia="pt-BR"/>
        </w:rPr>
        <w:t>afirmando</w:t>
      </w:r>
      <w:r w:rsidR="00BC78FD">
        <w:rPr>
          <w:rFonts w:ascii="Palatino Linotype" w:eastAsia="Times New Roman" w:hAnsi="Palatino Linotype"/>
          <w:sz w:val="26"/>
          <w:szCs w:val="26"/>
          <w:lang w:eastAsia="pt-BR"/>
        </w:rPr>
        <w:t>, em estudo elaborado sobre o tema,</w:t>
      </w:r>
      <w:r w:rsidR="00C64CF6">
        <w:rPr>
          <w:rFonts w:ascii="Palatino Linotype" w:eastAsia="Times New Roman" w:hAnsi="Palatino Linotype"/>
          <w:sz w:val="26"/>
          <w:szCs w:val="26"/>
          <w:lang w:eastAsia="pt-BR"/>
        </w:rPr>
        <w:t xml:space="preserve"> expressamente que</w:t>
      </w:r>
      <w:r w:rsidR="004C6CB5">
        <w:rPr>
          <w:rFonts w:ascii="Palatino Linotype" w:eastAsia="Times New Roman" w:hAnsi="Palatino Linotype"/>
          <w:sz w:val="26"/>
          <w:szCs w:val="26"/>
          <w:lang w:eastAsia="pt-BR"/>
        </w:rPr>
        <w:t xml:space="preserve">: </w:t>
      </w:r>
      <w:r w:rsidR="004C6CB5" w:rsidRPr="00BC78FD">
        <w:rPr>
          <w:rFonts w:ascii="Palatino Linotype" w:eastAsia="Times New Roman" w:hAnsi="Palatino Linotype"/>
          <w:i/>
          <w:sz w:val="26"/>
          <w:szCs w:val="26"/>
          <w:lang w:eastAsia="pt-BR"/>
        </w:rPr>
        <w:t>(i)</w:t>
      </w:r>
      <w:r w:rsidR="004C6CB5">
        <w:rPr>
          <w:rFonts w:ascii="Palatino Linotype" w:eastAsia="Times New Roman" w:hAnsi="Palatino Linotype"/>
          <w:sz w:val="26"/>
          <w:szCs w:val="26"/>
          <w:lang w:eastAsia="pt-BR"/>
        </w:rPr>
        <w:t xml:space="preserve"> “aplicativos </w:t>
      </w:r>
      <w:r w:rsidR="00BC78FD">
        <w:rPr>
          <w:rFonts w:ascii="Palatino Linotype" w:eastAsia="Times New Roman" w:hAnsi="Palatino Linotype"/>
          <w:sz w:val="26"/>
          <w:szCs w:val="26"/>
          <w:lang w:eastAsia="pt-BR"/>
        </w:rPr>
        <w:t xml:space="preserve">de transporte </w:t>
      </w:r>
      <w:r w:rsidR="004C6CB5">
        <w:rPr>
          <w:rFonts w:ascii="Palatino Linotype" w:eastAsia="Times New Roman" w:hAnsi="Palatino Linotype"/>
          <w:sz w:val="26"/>
          <w:szCs w:val="26"/>
          <w:lang w:eastAsia="pt-BR"/>
        </w:rPr>
        <w:t xml:space="preserve">não parecem causar o congestionamento adicional experimentado no </w:t>
      </w:r>
      <w:r w:rsidR="00BA72ED">
        <w:rPr>
          <w:rFonts w:ascii="Palatino Linotype" w:eastAsia="Times New Roman" w:hAnsi="Palatino Linotype"/>
          <w:sz w:val="26"/>
          <w:szCs w:val="26"/>
          <w:lang w:eastAsia="pt-BR"/>
        </w:rPr>
        <w:t>centro comercial da cidade</w:t>
      </w:r>
      <w:r w:rsidR="004C6CB5">
        <w:rPr>
          <w:rFonts w:ascii="Palatino Linotype" w:eastAsia="Times New Roman" w:hAnsi="Palatino Linotype"/>
          <w:sz w:val="26"/>
          <w:szCs w:val="26"/>
          <w:lang w:eastAsia="pt-BR"/>
        </w:rPr>
        <w:t xml:space="preserve">”; e </w:t>
      </w:r>
      <w:r w:rsidR="004C6CB5" w:rsidRPr="00BC78FD">
        <w:rPr>
          <w:rFonts w:ascii="Palatino Linotype" w:eastAsia="Times New Roman" w:hAnsi="Palatino Linotype"/>
          <w:i/>
          <w:sz w:val="26"/>
          <w:szCs w:val="26"/>
          <w:lang w:eastAsia="pt-BR"/>
        </w:rPr>
        <w:t>(ii)</w:t>
      </w:r>
      <w:r w:rsidR="004C6CB5">
        <w:rPr>
          <w:rFonts w:ascii="Palatino Linotype" w:eastAsia="Times New Roman" w:hAnsi="Palatino Linotype"/>
          <w:sz w:val="26"/>
          <w:szCs w:val="26"/>
          <w:lang w:eastAsia="pt-BR"/>
        </w:rPr>
        <w:t xml:space="preserve"> por força de padrões de emissão de poluentes impostos a toda a indústria automotiva, “mudanças no setor de veículos sob demanda provavelmente não afetarão a qualidade do ar na cidade de Nova York de maneira significativa” (“</w:t>
      </w:r>
      <w:r w:rsidR="004C6CB5">
        <w:rPr>
          <w:rFonts w:ascii="Palatino Linotype" w:eastAsia="Times New Roman" w:hAnsi="Palatino Linotype"/>
          <w:i/>
          <w:sz w:val="26"/>
          <w:szCs w:val="26"/>
          <w:lang w:eastAsia="pt-BR"/>
        </w:rPr>
        <w:t>e-dispatch does not appear to be driving the additional congestion experienced in the CBD</w:t>
      </w:r>
      <w:r w:rsidR="004C6CB5">
        <w:rPr>
          <w:rFonts w:ascii="Palatino Linotype" w:eastAsia="Times New Roman" w:hAnsi="Palatino Linotype"/>
          <w:sz w:val="26"/>
          <w:szCs w:val="26"/>
          <w:lang w:eastAsia="pt-BR"/>
        </w:rPr>
        <w:t>”; “</w:t>
      </w:r>
      <w:r w:rsidR="004C6CB5" w:rsidRPr="004C6CB5">
        <w:rPr>
          <w:rFonts w:ascii="Palatino Linotype" w:eastAsia="Times New Roman" w:hAnsi="Palatino Linotype"/>
          <w:i/>
          <w:sz w:val="26"/>
          <w:szCs w:val="26"/>
          <w:lang w:eastAsia="pt-BR"/>
        </w:rPr>
        <w:t>changes in the FHV sector are not likely to affect New York City air quality in a significant manner</w:t>
      </w:r>
      <w:r w:rsidR="004C6CB5" w:rsidRPr="004C6CB5">
        <w:rPr>
          <w:rFonts w:ascii="Palatino Linotype" w:eastAsia="Times New Roman" w:hAnsi="Palatino Linotype"/>
          <w:sz w:val="26"/>
          <w:szCs w:val="26"/>
          <w:lang w:eastAsia="pt-BR"/>
        </w:rPr>
        <w:t xml:space="preserve">”. </w:t>
      </w:r>
      <w:r w:rsidR="00BC78FD" w:rsidRPr="00B2392F">
        <w:rPr>
          <w:rFonts w:ascii="Palatino Linotype" w:eastAsia="Times New Roman" w:hAnsi="Palatino Linotype"/>
          <w:sz w:val="26"/>
          <w:szCs w:val="26"/>
          <w:lang w:val="en-US" w:eastAsia="pt-BR"/>
        </w:rPr>
        <w:t>City of New York, Office of the Mayor. “</w:t>
      </w:r>
      <w:r w:rsidR="00BC78FD" w:rsidRPr="00B2392F">
        <w:rPr>
          <w:rFonts w:ascii="Palatino Linotype" w:eastAsia="Times New Roman" w:hAnsi="Palatino Linotype"/>
          <w:i/>
          <w:sz w:val="26"/>
          <w:szCs w:val="26"/>
          <w:lang w:val="en-US" w:eastAsia="pt-BR"/>
        </w:rPr>
        <w:t>For-Hire Vehicle Transportation Study</w:t>
      </w:r>
      <w:r w:rsidR="00BC78FD" w:rsidRPr="00B2392F">
        <w:rPr>
          <w:rFonts w:ascii="Palatino Linotype" w:eastAsia="Times New Roman" w:hAnsi="Palatino Linotype"/>
          <w:sz w:val="26"/>
          <w:szCs w:val="26"/>
          <w:lang w:val="en-US" w:eastAsia="pt-BR"/>
        </w:rPr>
        <w:t xml:space="preserve">”. </w:t>
      </w:r>
      <w:r w:rsidR="00BC78FD">
        <w:rPr>
          <w:rFonts w:ascii="Palatino Linotype" w:eastAsia="Times New Roman" w:hAnsi="Palatino Linotype"/>
          <w:sz w:val="26"/>
          <w:szCs w:val="26"/>
          <w:lang w:eastAsia="pt-BR"/>
        </w:rPr>
        <w:t xml:space="preserve">Jan., 2016. </w:t>
      </w:r>
      <w:r w:rsidR="004C6CB5" w:rsidRPr="004C6CB5">
        <w:rPr>
          <w:rFonts w:ascii="Palatino Linotype" w:eastAsia="Times New Roman" w:hAnsi="Palatino Linotype"/>
          <w:sz w:val="26"/>
          <w:szCs w:val="26"/>
          <w:lang w:eastAsia="pt-BR"/>
        </w:rPr>
        <w:t xml:space="preserve">p. </w:t>
      </w:r>
      <w:r w:rsidR="004C6CB5">
        <w:rPr>
          <w:rFonts w:ascii="Palatino Linotype" w:eastAsia="Times New Roman" w:hAnsi="Palatino Linotype"/>
          <w:sz w:val="26"/>
          <w:szCs w:val="26"/>
          <w:lang w:eastAsia="pt-BR"/>
        </w:rPr>
        <w:t>5-6</w:t>
      </w:r>
      <w:r w:rsidR="00BC78FD">
        <w:rPr>
          <w:rFonts w:ascii="Palatino Linotype" w:eastAsia="Times New Roman" w:hAnsi="Palatino Linotype"/>
          <w:sz w:val="26"/>
          <w:szCs w:val="26"/>
          <w:lang w:eastAsia="pt-BR"/>
        </w:rPr>
        <w:t>. Disponível em: &lt;</w:t>
      </w:r>
      <w:r w:rsidR="00BC78FD" w:rsidRPr="00BC78FD">
        <w:rPr>
          <w:rFonts w:ascii="Palatino Linotype" w:eastAsia="Times New Roman" w:hAnsi="Palatino Linotype"/>
          <w:sz w:val="26"/>
          <w:szCs w:val="26"/>
          <w:lang w:eastAsia="pt-BR"/>
        </w:rPr>
        <w:t>http://www1.nyc.gov</w:t>
      </w:r>
      <w:r w:rsidR="00BC78FD">
        <w:rPr>
          <w:rFonts w:ascii="Palatino Linotype" w:eastAsia="Times New Roman" w:hAnsi="Palatino Linotype"/>
          <w:sz w:val="26"/>
          <w:szCs w:val="26"/>
          <w:lang w:eastAsia="pt-BR"/>
        </w:rPr>
        <w:t>&gt;</w:t>
      </w:r>
      <w:r w:rsidR="004C6CB5" w:rsidRPr="004C6CB5">
        <w:rPr>
          <w:rFonts w:ascii="Palatino Linotype" w:eastAsia="Times New Roman" w:hAnsi="Palatino Linotype"/>
          <w:sz w:val="26"/>
          <w:szCs w:val="26"/>
          <w:lang w:eastAsia="pt-BR"/>
        </w:rPr>
        <w:t>).</w:t>
      </w:r>
    </w:p>
    <w:p w:rsidR="005A044C" w:rsidRDefault="00B17C65" w:rsidP="00101525">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Ainda em relação à gestão do trânsito, outro estudo empírico</w:t>
      </w:r>
      <w:r w:rsidR="00A44CA3">
        <w:rPr>
          <w:rFonts w:ascii="Palatino Linotype" w:eastAsia="Times New Roman" w:hAnsi="Palatino Linotype"/>
          <w:sz w:val="26"/>
          <w:szCs w:val="26"/>
          <w:lang w:eastAsia="pt-BR"/>
        </w:rPr>
        <w:t xml:space="preserve">, </w:t>
      </w:r>
      <w:r w:rsidR="004C6CB5">
        <w:rPr>
          <w:rFonts w:ascii="Palatino Linotype" w:eastAsia="Times New Roman" w:hAnsi="Palatino Linotype"/>
          <w:sz w:val="26"/>
          <w:szCs w:val="26"/>
          <w:lang w:eastAsia="pt-BR"/>
        </w:rPr>
        <w:t>que também empregou</w:t>
      </w:r>
      <w:r w:rsidR="00A44CA3">
        <w:rPr>
          <w:rFonts w:ascii="Palatino Linotype" w:eastAsia="Times New Roman" w:hAnsi="Palatino Linotype"/>
          <w:sz w:val="26"/>
          <w:szCs w:val="26"/>
          <w:lang w:eastAsia="pt-BR"/>
        </w:rPr>
        <w:t xml:space="preserve"> a técnica</w:t>
      </w:r>
      <w:r w:rsidR="004C6CB5">
        <w:rPr>
          <w:rFonts w:ascii="Palatino Linotype" w:eastAsia="Times New Roman" w:hAnsi="Palatino Linotype"/>
          <w:sz w:val="26"/>
          <w:szCs w:val="26"/>
          <w:lang w:eastAsia="pt-BR"/>
        </w:rPr>
        <w:t xml:space="preserve"> estatística</w:t>
      </w:r>
      <w:r w:rsidR="00A44CA3">
        <w:rPr>
          <w:rFonts w:ascii="Palatino Linotype" w:eastAsia="Times New Roman" w:hAnsi="Palatino Linotype"/>
          <w:sz w:val="26"/>
          <w:szCs w:val="26"/>
          <w:lang w:eastAsia="pt-BR"/>
        </w:rPr>
        <w:t xml:space="preserve"> “diferenças em diferenças”,</w:t>
      </w:r>
      <w:r>
        <w:rPr>
          <w:rFonts w:ascii="Palatino Linotype" w:eastAsia="Times New Roman" w:hAnsi="Palatino Linotype"/>
          <w:sz w:val="26"/>
          <w:szCs w:val="26"/>
          <w:lang w:eastAsia="pt-BR"/>
        </w:rPr>
        <w:t xml:space="preserve"> correlaciona o ingresso do aplicativo Uber em mercados da Califórnia a uma significativa</w:t>
      </w:r>
      <w:r w:rsidR="006379C0">
        <w:rPr>
          <w:rFonts w:ascii="Palatino Linotype" w:eastAsia="Times New Roman" w:hAnsi="Palatino Linotype"/>
          <w:sz w:val="26"/>
          <w:szCs w:val="26"/>
          <w:lang w:eastAsia="pt-BR"/>
        </w:rPr>
        <w:t xml:space="preserve"> e rápida</w:t>
      </w:r>
      <w:r>
        <w:rPr>
          <w:rFonts w:ascii="Palatino Linotype" w:eastAsia="Times New Roman" w:hAnsi="Palatino Linotype"/>
          <w:sz w:val="26"/>
          <w:szCs w:val="26"/>
          <w:lang w:eastAsia="pt-BR"/>
        </w:rPr>
        <w:t xml:space="preserve"> redução no número de homicídios </w:t>
      </w:r>
      <w:r w:rsidR="005A044C">
        <w:rPr>
          <w:rFonts w:ascii="Palatino Linotype" w:eastAsia="Times New Roman" w:hAnsi="Palatino Linotype"/>
          <w:sz w:val="26"/>
          <w:szCs w:val="26"/>
          <w:lang w:eastAsia="pt-BR"/>
        </w:rPr>
        <w:t xml:space="preserve">ocorridos </w:t>
      </w:r>
      <w:r w:rsidR="005A044C">
        <w:rPr>
          <w:rFonts w:ascii="Palatino Linotype" w:eastAsia="Times New Roman" w:hAnsi="Palatino Linotype"/>
          <w:sz w:val="26"/>
          <w:szCs w:val="26"/>
          <w:lang w:eastAsia="pt-BR"/>
        </w:rPr>
        <w:lastRenderedPageBreak/>
        <w:t xml:space="preserve">com </w:t>
      </w:r>
      <w:r>
        <w:rPr>
          <w:rFonts w:ascii="Palatino Linotype" w:eastAsia="Times New Roman" w:hAnsi="Palatino Linotype"/>
          <w:sz w:val="26"/>
          <w:szCs w:val="26"/>
          <w:lang w:eastAsia="pt-BR"/>
        </w:rPr>
        <w:t>veículos automotores</w:t>
      </w:r>
      <w:r w:rsidR="006379C0">
        <w:rPr>
          <w:rFonts w:ascii="Palatino Linotype" w:eastAsia="Times New Roman" w:hAnsi="Palatino Linotype"/>
          <w:sz w:val="26"/>
          <w:szCs w:val="26"/>
          <w:lang w:eastAsia="pt-BR"/>
        </w:rPr>
        <w:t xml:space="preserve"> </w:t>
      </w:r>
      <w:r w:rsidR="005A044C">
        <w:rPr>
          <w:rFonts w:ascii="Palatino Linotype" w:eastAsia="Times New Roman" w:hAnsi="Palatino Linotype"/>
          <w:sz w:val="26"/>
          <w:szCs w:val="26"/>
          <w:lang w:eastAsia="pt-BR"/>
        </w:rPr>
        <w:t xml:space="preserve">sob a influência de álcool </w:t>
      </w:r>
      <w:r w:rsidR="006379C0" w:rsidRPr="006379C0">
        <w:rPr>
          <w:rFonts w:ascii="Palatino Linotype" w:eastAsia="Times New Roman" w:hAnsi="Palatino Linotype"/>
          <w:sz w:val="26"/>
          <w:szCs w:val="26"/>
          <w:lang w:eastAsia="pt-BR"/>
        </w:rPr>
        <w:t xml:space="preserve">(GREENWOOD, Brad N.; WATTAL, Sunil. </w:t>
      </w:r>
      <w:r w:rsidR="006379C0" w:rsidRPr="006379C0">
        <w:rPr>
          <w:rFonts w:ascii="Palatino Linotype" w:eastAsia="Times New Roman" w:hAnsi="Palatino Linotype"/>
          <w:sz w:val="26"/>
          <w:szCs w:val="26"/>
          <w:lang w:val="en-US" w:eastAsia="pt-BR"/>
        </w:rPr>
        <w:t>“</w:t>
      </w:r>
      <w:r w:rsidR="006379C0" w:rsidRPr="006379C0">
        <w:rPr>
          <w:rFonts w:ascii="Palatino Linotype" w:eastAsia="Times New Roman" w:hAnsi="Palatino Linotype"/>
          <w:i/>
          <w:sz w:val="26"/>
          <w:szCs w:val="26"/>
          <w:lang w:val="en-US" w:eastAsia="pt-BR"/>
        </w:rPr>
        <w:t>Show Me the Way to Go Home: An Empirical Investigation of Ride Sharing and Alcohol Related Motor Vehicle Homicide</w:t>
      </w:r>
      <w:r w:rsidR="006379C0" w:rsidRPr="006379C0">
        <w:rPr>
          <w:rFonts w:ascii="Palatino Linotype" w:eastAsia="Times New Roman" w:hAnsi="Palatino Linotype"/>
          <w:sz w:val="26"/>
          <w:szCs w:val="26"/>
          <w:lang w:val="en-US" w:eastAsia="pt-BR"/>
        </w:rPr>
        <w:t xml:space="preserve">” (2015). Fox School of Business Research Paper No. 15-054. Disponível em: </w:t>
      </w:r>
      <w:r w:rsidR="006379C0">
        <w:rPr>
          <w:rFonts w:ascii="Palatino Linotype" w:eastAsia="Times New Roman" w:hAnsi="Palatino Linotype"/>
          <w:sz w:val="26"/>
          <w:szCs w:val="26"/>
          <w:lang w:val="en-US" w:eastAsia="pt-BR"/>
        </w:rPr>
        <w:t>&lt;</w:t>
      </w:r>
      <w:r w:rsidR="006379C0" w:rsidRPr="006379C0">
        <w:rPr>
          <w:rFonts w:ascii="Palatino Linotype" w:eastAsia="Times New Roman" w:hAnsi="Palatino Linotype"/>
          <w:sz w:val="26"/>
          <w:szCs w:val="26"/>
          <w:lang w:val="en-US" w:eastAsia="pt-BR"/>
        </w:rPr>
        <w:t>https://ssrn.com/abstract=2557612</w:t>
      </w:r>
      <w:r w:rsidR="006379C0">
        <w:rPr>
          <w:rFonts w:ascii="Palatino Linotype" w:eastAsia="Times New Roman" w:hAnsi="Palatino Linotype"/>
          <w:sz w:val="26"/>
          <w:szCs w:val="26"/>
          <w:lang w:val="en-US" w:eastAsia="pt-BR"/>
        </w:rPr>
        <w:t>&gt;</w:t>
      </w:r>
      <w:r w:rsidR="006379C0" w:rsidRPr="006379C0">
        <w:rPr>
          <w:rFonts w:ascii="Palatino Linotype" w:eastAsia="Times New Roman" w:hAnsi="Palatino Linotype"/>
          <w:sz w:val="26"/>
          <w:szCs w:val="26"/>
          <w:lang w:val="en-US" w:eastAsia="pt-BR"/>
        </w:rPr>
        <w:t>)</w:t>
      </w:r>
      <w:r w:rsidRPr="006379C0">
        <w:rPr>
          <w:rFonts w:ascii="Palatino Linotype" w:eastAsia="Times New Roman" w:hAnsi="Palatino Linotype"/>
          <w:sz w:val="26"/>
          <w:szCs w:val="26"/>
          <w:lang w:val="en-US" w:eastAsia="pt-BR"/>
        </w:rPr>
        <w:t xml:space="preserve">. </w:t>
      </w:r>
      <w:r>
        <w:rPr>
          <w:rFonts w:ascii="Palatino Linotype" w:eastAsia="Times New Roman" w:hAnsi="Palatino Linotype"/>
          <w:sz w:val="26"/>
          <w:szCs w:val="26"/>
          <w:lang w:eastAsia="pt-BR"/>
        </w:rPr>
        <w:t xml:space="preserve">Os pesquisadores responsáveis pelo estudo apontam que </w:t>
      </w:r>
      <w:r w:rsidR="00BA7DD4">
        <w:rPr>
          <w:rFonts w:ascii="Palatino Linotype" w:eastAsia="Times New Roman" w:hAnsi="Palatino Linotype"/>
          <w:sz w:val="26"/>
          <w:szCs w:val="26"/>
          <w:lang w:eastAsia="pt-BR"/>
        </w:rPr>
        <w:t>“a insuficiência</w:t>
      </w:r>
      <w:r>
        <w:rPr>
          <w:rFonts w:ascii="Palatino Linotype" w:eastAsia="Times New Roman" w:hAnsi="Palatino Linotype"/>
          <w:sz w:val="26"/>
          <w:szCs w:val="26"/>
          <w:lang w:eastAsia="pt-BR"/>
        </w:rPr>
        <w:t xml:space="preserve"> </w:t>
      </w:r>
      <w:r w:rsidR="00BA7DD4">
        <w:rPr>
          <w:rFonts w:ascii="Palatino Linotype" w:eastAsia="Times New Roman" w:hAnsi="Palatino Linotype"/>
          <w:sz w:val="26"/>
          <w:szCs w:val="26"/>
          <w:lang w:eastAsia="pt-BR"/>
        </w:rPr>
        <w:t>do número de táxis pode resultar em cidadãos dirigindo veículos automotores sob a influência de álcool“ (“</w:t>
      </w:r>
      <w:r w:rsidR="00101525" w:rsidRPr="00101525">
        <w:rPr>
          <w:rFonts w:ascii="Palatino Linotype" w:eastAsia="Times New Roman" w:hAnsi="Palatino Linotype"/>
          <w:i/>
          <w:sz w:val="26"/>
          <w:szCs w:val="26"/>
          <w:lang w:eastAsia="pt-BR"/>
        </w:rPr>
        <w:t>the absence of a sufficient number of taxis may result in citizens operating motor vehicles under the influence of alcohol</w:t>
      </w:r>
      <w:r w:rsidR="00BA7DD4" w:rsidRPr="00101525">
        <w:rPr>
          <w:rFonts w:ascii="Palatino Linotype" w:eastAsia="Times New Roman" w:hAnsi="Palatino Linotype"/>
          <w:sz w:val="26"/>
          <w:szCs w:val="26"/>
          <w:lang w:eastAsia="pt-BR"/>
        </w:rPr>
        <w:t xml:space="preserve">”). </w:t>
      </w:r>
      <w:r w:rsidR="00BA7DD4">
        <w:rPr>
          <w:rFonts w:ascii="Palatino Linotype" w:eastAsia="Times New Roman" w:hAnsi="Palatino Linotype"/>
          <w:sz w:val="26"/>
          <w:szCs w:val="26"/>
          <w:lang w:eastAsia="pt-BR"/>
        </w:rPr>
        <w:t xml:space="preserve">Esse efeito positivo do funcionamento de aplicativos de compartilhamento de corridas abrange não apenas o número de vidas salvas, mas também os custos poupados </w:t>
      </w:r>
      <w:r w:rsidR="00101525">
        <w:rPr>
          <w:rFonts w:ascii="Palatino Linotype" w:eastAsia="Times New Roman" w:hAnsi="Palatino Linotype"/>
          <w:sz w:val="26"/>
          <w:szCs w:val="26"/>
          <w:lang w:eastAsia="pt-BR"/>
        </w:rPr>
        <w:t>na</w:t>
      </w:r>
      <w:r w:rsidR="00BA7DD4">
        <w:rPr>
          <w:rFonts w:ascii="Palatino Linotype" w:eastAsia="Times New Roman" w:hAnsi="Palatino Linotype"/>
          <w:sz w:val="26"/>
          <w:szCs w:val="26"/>
          <w:lang w:eastAsia="pt-BR"/>
        </w:rPr>
        <w:t xml:space="preserve"> persecuç</w:t>
      </w:r>
      <w:r w:rsidR="00101525">
        <w:rPr>
          <w:rFonts w:ascii="Palatino Linotype" w:eastAsia="Times New Roman" w:hAnsi="Palatino Linotype"/>
          <w:sz w:val="26"/>
          <w:szCs w:val="26"/>
          <w:lang w:eastAsia="pt-BR"/>
        </w:rPr>
        <w:t>ão</w:t>
      </w:r>
      <w:r w:rsidR="00BA7DD4">
        <w:rPr>
          <w:rFonts w:ascii="Palatino Linotype" w:eastAsia="Times New Roman" w:hAnsi="Palatino Linotype"/>
          <w:sz w:val="26"/>
          <w:szCs w:val="26"/>
          <w:lang w:eastAsia="pt-BR"/>
        </w:rPr>
        <w:t xml:space="preserve"> e encarceramento de indivíduos envolvidos em acidentes.</w:t>
      </w:r>
      <w:r w:rsidR="0081699F">
        <w:rPr>
          <w:rFonts w:ascii="Palatino Linotype" w:eastAsia="Times New Roman" w:hAnsi="Palatino Linotype"/>
          <w:sz w:val="26"/>
          <w:szCs w:val="26"/>
          <w:lang w:eastAsia="pt-BR"/>
        </w:rPr>
        <w:t xml:space="preserve"> Além disso, congestionamentos resultam de fatores recorrentes e não recorrentes, sendo que fração substancial destes últimos é composta por acidentes de trânsito.</w:t>
      </w:r>
      <w:r w:rsidR="000D15DE">
        <w:rPr>
          <w:rFonts w:ascii="Palatino Linotype" w:eastAsia="Times New Roman" w:hAnsi="Palatino Linotype"/>
          <w:sz w:val="26"/>
          <w:szCs w:val="26"/>
          <w:lang w:eastAsia="pt-BR"/>
        </w:rPr>
        <w:t xml:space="preserve"> Se as plataformas de economia compartilhada reduzem a embriaguez ao volante, contribuem, também por essa perspectiva, para a melhor fluidez do trânsito.</w:t>
      </w:r>
    </w:p>
    <w:p w:rsidR="003523DF" w:rsidRDefault="00BD20E1" w:rsidP="00973DC2">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Mesmo que os serviços de compartilhamento de corridas gerassem impacto negativo no trânsito e na expansão das cidades, e ainda que não apresentassem outros efeitos sociais positivos relacionados à mobilidade urbana, não haveria espaço para a medida proibitiva do exercício de liberdades constitucionalmente asseguradas, ante a existência de alternativas notórias para o enfrentamento das mesmas questões</w:t>
      </w:r>
      <w:r w:rsidR="00841069">
        <w:rPr>
          <w:rFonts w:ascii="Palatino Linotype" w:eastAsia="Times New Roman" w:hAnsi="Palatino Linotype"/>
          <w:sz w:val="26"/>
          <w:szCs w:val="26"/>
          <w:lang w:eastAsia="pt-BR"/>
        </w:rPr>
        <w:t xml:space="preserve"> e</w:t>
      </w:r>
      <w:r w:rsidR="00A047EE">
        <w:rPr>
          <w:rFonts w:ascii="Palatino Linotype" w:eastAsia="Times New Roman" w:hAnsi="Palatino Linotype"/>
          <w:sz w:val="26"/>
          <w:szCs w:val="26"/>
          <w:lang w:eastAsia="pt-BR"/>
        </w:rPr>
        <w:t xml:space="preserve"> que não geram restrição de </w:t>
      </w:r>
      <w:r w:rsidR="00667AA1">
        <w:rPr>
          <w:rFonts w:ascii="Palatino Linotype" w:eastAsia="Times New Roman" w:hAnsi="Palatino Linotype"/>
          <w:sz w:val="26"/>
          <w:szCs w:val="26"/>
          <w:lang w:eastAsia="pt-BR"/>
        </w:rPr>
        <w:t xml:space="preserve">entrada em </w:t>
      </w:r>
      <w:r w:rsidR="00A047EE">
        <w:rPr>
          <w:rFonts w:ascii="Palatino Linotype" w:eastAsia="Times New Roman" w:hAnsi="Palatino Linotype"/>
          <w:sz w:val="26"/>
          <w:szCs w:val="26"/>
          <w:lang w:eastAsia="pt-BR"/>
        </w:rPr>
        <w:t>mercado</w:t>
      </w:r>
      <w:r w:rsidR="00667AA1">
        <w:rPr>
          <w:rFonts w:ascii="Palatino Linotype" w:eastAsia="Times New Roman" w:hAnsi="Palatino Linotype"/>
          <w:sz w:val="26"/>
          <w:szCs w:val="26"/>
          <w:lang w:eastAsia="pt-BR"/>
        </w:rPr>
        <w:t xml:space="preserve"> profissional</w:t>
      </w:r>
      <w:r>
        <w:rPr>
          <w:rFonts w:ascii="Palatino Linotype" w:eastAsia="Times New Roman" w:hAnsi="Palatino Linotype"/>
          <w:sz w:val="26"/>
          <w:szCs w:val="26"/>
          <w:lang w:eastAsia="pt-BR"/>
        </w:rPr>
        <w:t>.</w:t>
      </w:r>
    </w:p>
    <w:p w:rsidR="00BD20E1" w:rsidRPr="000D6C70" w:rsidRDefault="003D449C" w:rsidP="00973DC2">
      <w:pPr>
        <w:spacing w:before="100" w:beforeAutospacing="1" w:after="0" w:line="264" w:lineRule="auto"/>
        <w:ind w:firstLine="567"/>
        <w:rPr>
          <w:rFonts w:ascii="Palatino Linotype" w:eastAsia="Times New Roman" w:hAnsi="Palatino Linotype"/>
          <w:sz w:val="26"/>
          <w:szCs w:val="26"/>
          <w:lang w:val="en-US" w:eastAsia="pt-BR"/>
        </w:rPr>
      </w:pPr>
      <w:r>
        <w:rPr>
          <w:rFonts w:ascii="Palatino Linotype" w:eastAsia="Times New Roman" w:hAnsi="Palatino Linotype"/>
          <w:sz w:val="26"/>
          <w:szCs w:val="26"/>
          <w:lang w:eastAsia="pt-BR"/>
        </w:rPr>
        <w:t>Os denominados pedágios urbanos permitem a gestão do tráfego de forma isonômica, conforme cl</w:t>
      </w:r>
      <w:r w:rsidR="00973DC2">
        <w:rPr>
          <w:rFonts w:ascii="Palatino Linotype" w:eastAsia="Times New Roman" w:hAnsi="Palatino Linotype"/>
          <w:sz w:val="26"/>
          <w:szCs w:val="26"/>
          <w:lang w:eastAsia="pt-BR"/>
        </w:rPr>
        <w:t>a</w:t>
      </w:r>
      <w:r>
        <w:rPr>
          <w:rFonts w:ascii="Palatino Linotype" w:eastAsia="Times New Roman" w:hAnsi="Palatino Linotype"/>
          <w:sz w:val="26"/>
          <w:szCs w:val="26"/>
          <w:lang w:eastAsia="pt-BR"/>
        </w:rPr>
        <w:t>ssica</w:t>
      </w:r>
      <w:r w:rsidR="00973DC2">
        <w:rPr>
          <w:rFonts w:ascii="Palatino Linotype" w:eastAsia="Times New Roman" w:hAnsi="Palatino Linotype"/>
          <w:sz w:val="26"/>
          <w:szCs w:val="26"/>
          <w:lang w:eastAsia="pt-BR"/>
        </w:rPr>
        <w:t>mente</w:t>
      </w:r>
      <w:r>
        <w:rPr>
          <w:rFonts w:ascii="Palatino Linotype" w:eastAsia="Times New Roman" w:hAnsi="Palatino Linotype"/>
          <w:sz w:val="26"/>
          <w:szCs w:val="26"/>
          <w:lang w:eastAsia="pt-BR"/>
        </w:rPr>
        <w:t xml:space="preserve"> proposto pelo economista inglês Arthur Pigou já na década de 1920</w:t>
      </w:r>
      <w:r w:rsidR="00973DC2">
        <w:rPr>
          <w:rFonts w:ascii="Palatino Linotype" w:eastAsia="Times New Roman" w:hAnsi="Palatino Linotype"/>
          <w:sz w:val="26"/>
          <w:szCs w:val="26"/>
          <w:lang w:eastAsia="pt-BR"/>
        </w:rPr>
        <w:t xml:space="preserve"> e posteriormente refinado pelo ganhador do prêmio Nobel de economia </w:t>
      </w:r>
      <w:r w:rsidR="00973DC2" w:rsidRPr="00973DC2">
        <w:rPr>
          <w:rFonts w:ascii="Palatino Linotype" w:eastAsia="Times New Roman" w:hAnsi="Palatino Linotype"/>
          <w:sz w:val="26"/>
          <w:szCs w:val="26"/>
          <w:lang w:eastAsia="pt-BR"/>
        </w:rPr>
        <w:t>William S</w:t>
      </w:r>
      <w:r w:rsidR="00973DC2">
        <w:rPr>
          <w:rFonts w:ascii="Palatino Linotype" w:eastAsia="Times New Roman" w:hAnsi="Palatino Linotype"/>
          <w:sz w:val="26"/>
          <w:szCs w:val="26"/>
          <w:lang w:eastAsia="pt-BR"/>
        </w:rPr>
        <w:t>pencer</w:t>
      </w:r>
      <w:r w:rsidR="00973DC2" w:rsidRPr="00973DC2">
        <w:rPr>
          <w:rFonts w:ascii="Palatino Linotype" w:eastAsia="Times New Roman" w:hAnsi="Palatino Linotype"/>
          <w:sz w:val="26"/>
          <w:szCs w:val="26"/>
          <w:lang w:eastAsia="pt-BR"/>
        </w:rPr>
        <w:t xml:space="preserve"> Vickrey (“Congestion Theory and Transport Investment”. </w:t>
      </w:r>
      <w:r w:rsidR="00973DC2" w:rsidRPr="00973DC2">
        <w:rPr>
          <w:rFonts w:ascii="Palatino Linotype" w:eastAsia="Times New Roman" w:hAnsi="Palatino Linotype"/>
          <w:i/>
          <w:sz w:val="26"/>
          <w:szCs w:val="26"/>
          <w:lang w:val="en-US" w:eastAsia="pt-BR"/>
        </w:rPr>
        <w:t>In</w:t>
      </w:r>
      <w:r w:rsidR="00973DC2" w:rsidRPr="00973DC2">
        <w:rPr>
          <w:rFonts w:ascii="Palatino Linotype" w:eastAsia="Times New Roman" w:hAnsi="Palatino Linotype"/>
          <w:sz w:val="26"/>
          <w:szCs w:val="26"/>
          <w:lang w:val="en-US" w:eastAsia="pt-BR"/>
        </w:rPr>
        <w:t xml:space="preserve">: </w:t>
      </w:r>
      <w:r w:rsidR="00973DC2" w:rsidRPr="00973DC2">
        <w:rPr>
          <w:rFonts w:ascii="Palatino Linotype" w:eastAsia="Times New Roman" w:hAnsi="Palatino Linotype"/>
          <w:i/>
          <w:sz w:val="26"/>
          <w:szCs w:val="26"/>
          <w:lang w:val="en-US" w:eastAsia="pt-BR"/>
        </w:rPr>
        <w:t>The American Economic Review</w:t>
      </w:r>
      <w:r w:rsidR="00973DC2">
        <w:rPr>
          <w:rFonts w:ascii="Palatino Linotype" w:eastAsia="Times New Roman" w:hAnsi="Palatino Linotype"/>
          <w:sz w:val="26"/>
          <w:szCs w:val="26"/>
          <w:lang w:val="en-US" w:eastAsia="pt-BR"/>
        </w:rPr>
        <w:t xml:space="preserve">, </w:t>
      </w:r>
      <w:r w:rsidR="00973DC2" w:rsidRPr="00973DC2">
        <w:rPr>
          <w:rFonts w:ascii="Palatino Linotype" w:eastAsia="Times New Roman" w:hAnsi="Palatino Linotype"/>
          <w:sz w:val="26"/>
          <w:szCs w:val="26"/>
          <w:lang w:val="en-US" w:eastAsia="pt-BR"/>
        </w:rPr>
        <w:t>Vol. 59, No. 2, Papers and Proceedings of the Eighty-first Annual Meeting of the American Economic Association (May, 1969), pp. 251-260</w:t>
      </w:r>
      <w:r w:rsidR="00973DC2">
        <w:rPr>
          <w:rFonts w:ascii="Palatino Linotype" w:eastAsia="Times New Roman" w:hAnsi="Palatino Linotype"/>
          <w:sz w:val="26"/>
          <w:szCs w:val="26"/>
          <w:lang w:val="en-US" w:eastAsia="pt-BR"/>
        </w:rPr>
        <w:t>).</w:t>
      </w:r>
      <w:r w:rsidR="00F8454A">
        <w:rPr>
          <w:rFonts w:ascii="Palatino Linotype" w:eastAsia="Times New Roman" w:hAnsi="Palatino Linotype"/>
          <w:sz w:val="26"/>
          <w:szCs w:val="26"/>
          <w:lang w:val="en-US" w:eastAsia="pt-BR"/>
        </w:rPr>
        <w:t xml:space="preserve"> </w:t>
      </w:r>
      <w:r w:rsidR="00F8454A" w:rsidRPr="00F8454A">
        <w:rPr>
          <w:rFonts w:ascii="Palatino Linotype" w:eastAsia="Times New Roman" w:hAnsi="Palatino Linotype"/>
          <w:sz w:val="26"/>
          <w:szCs w:val="26"/>
          <w:lang w:eastAsia="pt-BR"/>
        </w:rPr>
        <w:t>O</w:t>
      </w:r>
      <w:r w:rsidR="00F8454A">
        <w:rPr>
          <w:rFonts w:ascii="Palatino Linotype" w:eastAsia="Times New Roman" w:hAnsi="Palatino Linotype"/>
          <w:sz w:val="26"/>
          <w:szCs w:val="26"/>
          <w:lang w:eastAsia="pt-BR"/>
        </w:rPr>
        <w:t xml:space="preserve"> objetivo é adequar a demanda ao custo marginal social de utilização das vias públicas, por meio da alteração do custo individual </w:t>
      </w:r>
      <w:r w:rsidR="00AF74E2">
        <w:rPr>
          <w:rFonts w:ascii="Palatino Linotype" w:eastAsia="Times New Roman" w:hAnsi="Palatino Linotype"/>
          <w:sz w:val="26"/>
          <w:szCs w:val="26"/>
          <w:lang w:eastAsia="pt-BR"/>
        </w:rPr>
        <w:t>de</w:t>
      </w:r>
      <w:r w:rsidR="00F8454A">
        <w:rPr>
          <w:rFonts w:ascii="Palatino Linotype" w:eastAsia="Times New Roman" w:hAnsi="Palatino Linotype"/>
          <w:sz w:val="26"/>
          <w:szCs w:val="26"/>
          <w:lang w:eastAsia="pt-BR"/>
        </w:rPr>
        <w:t xml:space="preserve"> cada viagem. O modelo permite levar em consideração a heterogeneidade </w:t>
      </w:r>
      <w:r w:rsidR="00F8454A">
        <w:rPr>
          <w:rFonts w:ascii="Palatino Linotype" w:eastAsia="Times New Roman" w:hAnsi="Palatino Linotype"/>
          <w:sz w:val="26"/>
          <w:szCs w:val="26"/>
          <w:lang w:eastAsia="pt-BR"/>
        </w:rPr>
        <w:lastRenderedPageBreak/>
        <w:t xml:space="preserve">de usuários, as características de cada modal, as diferenças por regiões </w:t>
      </w:r>
      <w:r w:rsidR="00F8454A" w:rsidRPr="00F8454A">
        <w:rPr>
          <w:rFonts w:ascii="Palatino Linotype" w:eastAsia="Times New Roman" w:hAnsi="Palatino Linotype"/>
          <w:i/>
          <w:sz w:val="26"/>
          <w:szCs w:val="26"/>
          <w:lang w:eastAsia="pt-BR"/>
        </w:rPr>
        <w:t>etc</w:t>
      </w:r>
      <w:r w:rsidR="00F8454A">
        <w:rPr>
          <w:rFonts w:ascii="Palatino Linotype" w:eastAsia="Times New Roman" w:hAnsi="Palatino Linotype"/>
          <w:sz w:val="26"/>
          <w:szCs w:val="26"/>
          <w:lang w:eastAsia="pt-BR"/>
        </w:rPr>
        <w:t>.</w:t>
      </w:r>
      <w:r w:rsidR="00302651" w:rsidRPr="00F8454A">
        <w:rPr>
          <w:rFonts w:ascii="Palatino Linotype" w:eastAsia="Times New Roman" w:hAnsi="Palatino Linotype"/>
          <w:sz w:val="26"/>
          <w:szCs w:val="26"/>
          <w:lang w:eastAsia="pt-BR"/>
        </w:rPr>
        <w:t xml:space="preserve"> </w:t>
      </w:r>
      <w:r w:rsidR="00302651" w:rsidRPr="00302651">
        <w:rPr>
          <w:rFonts w:ascii="Palatino Linotype" w:eastAsia="Times New Roman" w:hAnsi="Palatino Linotype"/>
          <w:sz w:val="26"/>
          <w:szCs w:val="26"/>
          <w:lang w:eastAsia="pt-BR"/>
        </w:rPr>
        <w:t>Iniciativas do gênero foram adotadas em Cingapura (</w:t>
      </w:r>
      <w:r w:rsidR="00302651" w:rsidRPr="00302651">
        <w:rPr>
          <w:rFonts w:ascii="Palatino Linotype" w:eastAsia="Times New Roman" w:hAnsi="Palatino Linotype"/>
          <w:i/>
          <w:sz w:val="26"/>
          <w:szCs w:val="26"/>
          <w:lang w:eastAsia="pt-BR"/>
        </w:rPr>
        <w:t>Electronic Road Pricing</w:t>
      </w:r>
      <w:r w:rsidR="00302651" w:rsidRPr="00302651">
        <w:rPr>
          <w:rFonts w:ascii="Palatino Linotype" w:eastAsia="Times New Roman" w:hAnsi="Palatino Linotype"/>
          <w:sz w:val="26"/>
          <w:szCs w:val="26"/>
          <w:lang w:eastAsia="pt-BR"/>
        </w:rPr>
        <w:t>)</w:t>
      </w:r>
      <w:r w:rsidR="00302651">
        <w:rPr>
          <w:rFonts w:ascii="Palatino Linotype" w:eastAsia="Times New Roman" w:hAnsi="Palatino Linotype"/>
          <w:sz w:val="26"/>
          <w:szCs w:val="26"/>
          <w:lang w:eastAsia="pt-BR"/>
        </w:rPr>
        <w:t>, Suécia (</w:t>
      </w:r>
      <w:r w:rsidR="00302651" w:rsidRPr="00302651">
        <w:rPr>
          <w:rFonts w:ascii="Palatino Linotype" w:eastAsia="Times New Roman" w:hAnsi="Palatino Linotype"/>
          <w:i/>
          <w:sz w:val="26"/>
          <w:szCs w:val="26"/>
          <w:lang w:eastAsia="pt-BR"/>
        </w:rPr>
        <w:t>Trängselskatt i Stockholm</w:t>
      </w:r>
      <w:r w:rsidR="00302651">
        <w:rPr>
          <w:rFonts w:ascii="Palatino Linotype" w:eastAsia="Times New Roman" w:hAnsi="Palatino Linotype"/>
          <w:sz w:val="26"/>
          <w:szCs w:val="26"/>
          <w:lang w:eastAsia="pt-BR"/>
        </w:rPr>
        <w:t>)</w:t>
      </w:r>
      <w:r w:rsidR="003B3E21">
        <w:rPr>
          <w:rFonts w:ascii="Palatino Linotype" w:eastAsia="Times New Roman" w:hAnsi="Palatino Linotype"/>
          <w:sz w:val="26"/>
          <w:szCs w:val="26"/>
          <w:lang w:eastAsia="pt-BR"/>
        </w:rPr>
        <w:t xml:space="preserve"> e</w:t>
      </w:r>
      <w:r w:rsidR="00302651">
        <w:rPr>
          <w:rFonts w:ascii="Palatino Linotype" w:eastAsia="Times New Roman" w:hAnsi="Palatino Linotype"/>
          <w:sz w:val="26"/>
          <w:szCs w:val="26"/>
          <w:lang w:eastAsia="pt-BR"/>
        </w:rPr>
        <w:t xml:space="preserve"> Inglaterra (</w:t>
      </w:r>
      <w:r w:rsidR="00302651">
        <w:rPr>
          <w:rFonts w:ascii="Palatino Linotype" w:eastAsia="Times New Roman" w:hAnsi="Palatino Linotype"/>
          <w:i/>
          <w:sz w:val="26"/>
          <w:szCs w:val="26"/>
          <w:lang w:eastAsia="pt-BR"/>
        </w:rPr>
        <w:t>London Congestion Charge</w:t>
      </w:r>
      <w:r w:rsidR="00302651">
        <w:rPr>
          <w:rFonts w:ascii="Palatino Linotype" w:eastAsia="Times New Roman" w:hAnsi="Palatino Linotype"/>
          <w:sz w:val="26"/>
          <w:szCs w:val="26"/>
          <w:lang w:eastAsia="pt-BR"/>
        </w:rPr>
        <w:t>)</w:t>
      </w:r>
      <w:r w:rsidR="003B3E21">
        <w:rPr>
          <w:rFonts w:ascii="Palatino Linotype" w:eastAsia="Times New Roman" w:hAnsi="Palatino Linotype"/>
          <w:sz w:val="26"/>
          <w:szCs w:val="26"/>
          <w:lang w:eastAsia="pt-BR"/>
        </w:rPr>
        <w:t>, dentre outros países.</w:t>
      </w:r>
      <w:r w:rsidR="00C21C7B">
        <w:rPr>
          <w:rFonts w:ascii="Palatino Linotype" w:eastAsia="Times New Roman" w:hAnsi="Palatino Linotype"/>
          <w:sz w:val="26"/>
          <w:szCs w:val="26"/>
          <w:lang w:eastAsia="pt-BR"/>
        </w:rPr>
        <w:t xml:space="preserve"> Outra alternativa é a instituição</w:t>
      </w:r>
      <w:r w:rsidR="00A815B1">
        <w:rPr>
          <w:rFonts w:ascii="Palatino Linotype" w:eastAsia="Times New Roman" w:hAnsi="Palatino Linotype"/>
          <w:sz w:val="26"/>
          <w:szCs w:val="26"/>
          <w:lang w:eastAsia="pt-BR"/>
        </w:rPr>
        <w:t xml:space="preserve"> de rodízio para a circulação de automóveis</w:t>
      </w:r>
      <w:r w:rsidR="002644BB">
        <w:rPr>
          <w:rFonts w:ascii="Palatino Linotype" w:eastAsia="Times New Roman" w:hAnsi="Palatino Linotype"/>
          <w:sz w:val="26"/>
          <w:szCs w:val="26"/>
          <w:lang w:eastAsia="pt-BR"/>
        </w:rPr>
        <w:t xml:space="preserve"> em determinados horários e regiões, como já ocorre na cidade de São Paulo/SP desde a Lei municipal nº 12.490/1997. A literatura da teoria econômica da mobilidade urbana oferece ainda inúmeros exemplos de políticas públicas que contribuem para a melhoria do trânsito, como a </w:t>
      </w:r>
      <w:r w:rsidR="003523DF">
        <w:rPr>
          <w:rFonts w:ascii="Palatino Linotype" w:eastAsia="Times New Roman" w:hAnsi="Palatino Linotype"/>
          <w:sz w:val="26"/>
          <w:szCs w:val="26"/>
          <w:lang w:eastAsia="pt-BR"/>
        </w:rPr>
        <w:t xml:space="preserve">alteração do zoneamento urbano – o </w:t>
      </w:r>
      <w:r w:rsidR="002644BB">
        <w:rPr>
          <w:rFonts w:ascii="Palatino Linotype" w:eastAsia="Times New Roman" w:hAnsi="Palatino Linotype"/>
          <w:sz w:val="26"/>
          <w:szCs w:val="26"/>
          <w:lang w:eastAsia="pt-BR"/>
        </w:rPr>
        <w:t xml:space="preserve">estabelecimento de controles de densidade mínima e </w:t>
      </w:r>
      <w:r w:rsidR="003523DF">
        <w:rPr>
          <w:rFonts w:ascii="Palatino Linotype" w:eastAsia="Times New Roman" w:hAnsi="Palatino Linotype"/>
          <w:sz w:val="26"/>
          <w:szCs w:val="26"/>
          <w:lang w:eastAsia="pt-BR"/>
        </w:rPr>
        <w:t xml:space="preserve">a </w:t>
      </w:r>
      <w:r w:rsidR="002644BB">
        <w:rPr>
          <w:rFonts w:ascii="Palatino Linotype" w:eastAsia="Times New Roman" w:hAnsi="Palatino Linotype"/>
          <w:sz w:val="26"/>
          <w:szCs w:val="26"/>
          <w:lang w:eastAsia="pt-BR"/>
        </w:rPr>
        <w:t>diversificação de usos do solo para favorecer a caminhada e o cicli</w:t>
      </w:r>
      <w:r w:rsidR="003523DF">
        <w:rPr>
          <w:rFonts w:ascii="Palatino Linotype" w:eastAsia="Times New Roman" w:hAnsi="Palatino Linotype"/>
          <w:sz w:val="26"/>
          <w:szCs w:val="26"/>
          <w:lang w:eastAsia="pt-BR"/>
        </w:rPr>
        <w:t>smo em deslocamentos cotidianos são apontados como ferramentas úteis de gestão do trânsito (</w:t>
      </w:r>
      <w:r w:rsidR="003523DF" w:rsidRPr="003523DF">
        <w:rPr>
          <w:rFonts w:ascii="Palatino Linotype" w:eastAsia="Times New Roman" w:hAnsi="Palatino Linotype"/>
          <w:sz w:val="26"/>
          <w:szCs w:val="26"/>
          <w:lang w:eastAsia="pt-BR"/>
        </w:rPr>
        <w:t>BERNICK</w:t>
      </w:r>
      <w:r w:rsidR="003523DF">
        <w:rPr>
          <w:rFonts w:ascii="Palatino Linotype" w:eastAsia="Times New Roman" w:hAnsi="Palatino Linotype"/>
          <w:sz w:val="26"/>
          <w:szCs w:val="26"/>
          <w:lang w:eastAsia="pt-BR"/>
        </w:rPr>
        <w:t>,</w:t>
      </w:r>
      <w:r w:rsidR="003523DF" w:rsidRPr="003523DF">
        <w:rPr>
          <w:rFonts w:ascii="Palatino Linotype" w:eastAsia="Times New Roman" w:hAnsi="Palatino Linotype"/>
          <w:sz w:val="26"/>
          <w:szCs w:val="26"/>
          <w:lang w:eastAsia="pt-BR"/>
        </w:rPr>
        <w:t xml:space="preserve"> Michael</w:t>
      </w:r>
      <w:r w:rsidR="003523DF">
        <w:rPr>
          <w:rFonts w:ascii="Palatino Linotype" w:eastAsia="Times New Roman" w:hAnsi="Palatino Linotype"/>
          <w:sz w:val="26"/>
          <w:szCs w:val="26"/>
          <w:lang w:eastAsia="pt-BR"/>
        </w:rPr>
        <w:t>; CERVERO,</w:t>
      </w:r>
      <w:r w:rsidR="003523DF" w:rsidRPr="003523DF">
        <w:rPr>
          <w:rFonts w:ascii="Palatino Linotype" w:eastAsia="Times New Roman" w:hAnsi="Palatino Linotype"/>
          <w:sz w:val="26"/>
          <w:szCs w:val="26"/>
          <w:lang w:eastAsia="pt-BR"/>
        </w:rPr>
        <w:t xml:space="preserve"> Robert. </w:t>
      </w:r>
      <w:r w:rsidR="003523DF" w:rsidRPr="000D6C70">
        <w:rPr>
          <w:rFonts w:ascii="Palatino Linotype" w:eastAsia="Times New Roman" w:hAnsi="Palatino Linotype"/>
          <w:i/>
          <w:sz w:val="26"/>
          <w:szCs w:val="26"/>
          <w:lang w:val="en-US" w:eastAsia="pt-BR"/>
        </w:rPr>
        <w:t>Transit Villages in the 21st Century</w:t>
      </w:r>
      <w:r w:rsidR="003523DF" w:rsidRPr="000D6C70">
        <w:rPr>
          <w:rFonts w:ascii="Palatino Linotype" w:eastAsia="Times New Roman" w:hAnsi="Palatino Linotype"/>
          <w:sz w:val="26"/>
          <w:szCs w:val="26"/>
          <w:lang w:val="en-US" w:eastAsia="pt-BR"/>
        </w:rPr>
        <w:t>. New York: McGraw-Hill, 1997).</w:t>
      </w:r>
    </w:p>
    <w:p w:rsidR="0088253B" w:rsidRDefault="00055473" w:rsidP="00101525">
      <w:pPr>
        <w:spacing w:before="100" w:beforeAutospacing="1" w:after="0" w:line="264" w:lineRule="auto"/>
        <w:ind w:firstLine="567"/>
        <w:rPr>
          <w:rFonts w:ascii="Palatino Linotype" w:eastAsia="Times New Roman" w:hAnsi="Palatino Linotype"/>
          <w:sz w:val="26"/>
          <w:szCs w:val="26"/>
          <w:lang w:eastAsia="pt-BR"/>
        </w:rPr>
      </w:pPr>
      <w:r w:rsidRPr="00DC212A">
        <w:rPr>
          <w:rFonts w:ascii="Palatino Linotype" w:eastAsia="Times New Roman" w:hAnsi="Palatino Linotype"/>
          <w:sz w:val="26"/>
          <w:szCs w:val="26"/>
          <w:lang w:eastAsia="pt-BR"/>
        </w:rPr>
        <w:t xml:space="preserve">A repressão legislativa </w:t>
      </w:r>
      <w:r w:rsidR="00DC212A" w:rsidRPr="00DC212A">
        <w:rPr>
          <w:rFonts w:ascii="Palatino Linotype" w:eastAsia="Times New Roman" w:hAnsi="Palatino Linotype"/>
          <w:sz w:val="26"/>
          <w:szCs w:val="26"/>
          <w:lang w:eastAsia="pt-BR"/>
        </w:rPr>
        <w:t>às</w:t>
      </w:r>
      <w:r w:rsidRPr="00DC212A">
        <w:rPr>
          <w:rFonts w:ascii="Palatino Linotype" w:eastAsia="Times New Roman" w:hAnsi="Palatino Linotype"/>
          <w:sz w:val="26"/>
          <w:szCs w:val="26"/>
          <w:lang w:eastAsia="pt-BR"/>
        </w:rPr>
        <w:t xml:space="preserve"> </w:t>
      </w:r>
      <w:r>
        <w:rPr>
          <w:rFonts w:ascii="Palatino Linotype" w:eastAsia="Times New Roman" w:hAnsi="Palatino Linotype"/>
          <w:sz w:val="26"/>
          <w:szCs w:val="26"/>
          <w:lang w:eastAsia="pt-BR"/>
        </w:rPr>
        <w:t>iniciativas</w:t>
      </w:r>
      <w:r w:rsidR="00502E57">
        <w:rPr>
          <w:rFonts w:ascii="Palatino Linotype" w:eastAsia="Times New Roman" w:hAnsi="Palatino Linotype"/>
          <w:sz w:val="26"/>
          <w:szCs w:val="26"/>
          <w:lang w:eastAsia="pt-BR"/>
        </w:rPr>
        <w:t xml:space="preserve"> modernas de ordenamento espontâneo do transporte </w:t>
      </w:r>
      <w:r>
        <w:rPr>
          <w:rFonts w:ascii="Palatino Linotype" w:eastAsia="Times New Roman" w:hAnsi="Palatino Linotype"/>
          <w:sz w:val="26"/>
          <w:szCs w:val="26"/>
          <w:lang w:eastAsia="pt-BR"/>
        </w:rPr>
        <w:t>nega “ao cidadão o direito à mobilidade urbana eficiente”, contrariando o mandamento contido no art. 144, § 10, I, da Constituição, incluído pela Emenda Constitucional nº 82/2014.</w:t>
      </w:r>
      <w:r w:rsidR="009D2606">
        <w:rPr>
          <w:rFonts w:ascii="Palatino Linotype" w:eastAsia="Times New Roman" w:hAnsi="Palatino Linotype"/>
          <w:sz w:val="26"/>
          <w:szCs w:val="26"/>
          <w:lang w:eastAsia="pt-BR"/>
        </w:rPr>
        <w:t xml:space="preserve"> Desconsidera o potencial impacto positivo das novas tecnologias no trânsito, na demanda por vagas de estacionamento em grandes centros e no número de acidentes automobilísticos por uso de álcool, sem contar os inúmeros e já detalhados benefícios aos consumidores.</w:t>
      </w:r>
      <w:r w:rsidR="003523DF">
        <w:rPr>
          <w:rFonts w:ascii="Palatino Linotype" w:eastAsia="Times New Roman" w:hAnsi="Palatino Linotype"/>
          <w:sz w:val="26"/>
          <w:szCs w:val="26"/>
          <w:lang w:eastAsia="pt-BR"/>
        </w:rPr>
        <w:t xml:space="preserve"> Ignora, igualmente, medidas alternativas e recorrentemente apontadas por especialistas para o enfrentamento de problemas de mobilidade e urbanísticos, as quais, por serem isonômicas, não resultam em restrição arbitrária às liberdades constitucionais de iniciativa (art. 1º, IV, e 170) e profissional (art. 5º, XIII).</w:t>
      </w:r>
      <w:r w:rsidR="00A82FDE">
        <w:rPr>
          <w:rFonts w:ascii="Palatino Linotype" w:eastAsia="Times New Roman" w:hAnsi="Palatino Linotype"/>
          <w:sz w:val="26"/>
          <w:szCs w:val="26"/>
          <w:lang w:eastAsia="pt-BR"/>
        </w:rPr>
        <w:t xml:space="preserve"> Por isso mesmo, a norma proibitiva ora impugnada carece de fundamentação racional.</w:t>
      </w:r>
    </w:p>
    <w:p w:rsidR="00AD3167" w:rsidRDefault="005C28C0"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Idêntica conclusão foi retratada em </w:t>
      </w:r>
      <w:r w:rsidR="000867EE">
        <w:rPr>
          <w:rFonts w:ascii="Palatino Linotype" w:eastAsia="Times New Roman" w:hAnsi="Palatino Linotype"/>
          <w:sz w:val="26"/>
          <w:szCs w:val="26"/>
          <w:lang w:eastAsia="pt-BR"/>
        </w:rPr>
        <w:t xml:space="preserve">outro </w:t>
      </w:r>
      <w:r>
        <w:rPr>
          <w:rFonts w:ascii="Palatino Linotype" w:eastAsia="Times New Roman" w:hAnsi="Palatino Linotype"/>
          <w:sz w:val="26"/>
          <w:szCs w:val="26"/>
          <w:lang w:eastAsia="pt-BR"/>
        </w:rPr>
        <w:t>estudo do Departamento de Estudos Econômicos do Conselho Administrativo de Defesa Econômica (CADE)</w:t>
      </w:r>
      <w:r w:rsidR="000867EE">
        <w:rPr>
          <w:rFonts w:ascii="Palatino Linotype" w:eastAsia="Times New Roman" w:hAnsi="Palatino Linotype"/>
          <w:sz w:val="26"/>
          <w:szCs w:val="26"/>
          <w:lang w:eastAsia="pt-BR"/>
        </w:rPr>
        <w:t>, segundo o qual não há nenhuma justificativa econômica para a proibição de ingresso de novos agentes no mercado de transporte individual de passageiros.</w:t>
      </w:r>
    </w:p>
    <w:p w:rsidR="003A0E9F" w:rsidRDefault="00A86A26" w:rsidP="00A86A26">
      <w:pPr>
        <w:spacing w:before="100" w:beforeAutospacing="1" w:after="0" w:line="264" w:lineRule="auto"/>
        <w:ind w:left="2268" w:firstLine="0"/>
        <w:rPr>
          <w:rFonts w:ascii="Palatino Linotype" w:eastAsia="Times New Roman" w:hAnsi="Palatino Linotype"/>
          <w:sz w:val="22"/>
          <w:lang w:eastAsia="pt-BR"/>
        </w:rPr>
      </w:pPr>
      <w:r w:rsidRPr="00A86A26">
        <w:rPr>
          <w:rFonts w:ascii="Palatino Linotype" w:eastAsia="Times New Roman" w:hAnsi="Palatino Linotype"/>
          <w:sz w:val="22"/>
          <w:lang w:eastAsia="pt-BR"/>
        </w:rPr>
        <w:lastRenderedPageBreak/>
        <w:t xml:space="preserve">“(...) conclui-se que </w:t>
      </w:r>
      <w:r w:rsidRPr="003B3E21">
        <w:rPr>
          <w:rFonts w:ascii="Palatino Linotype" w:eastAsia="Times New Roman" w:hAnsi="Palatino Linotype"/>
          <w:b/>
          <w:sz w:val="22"/>
          <w:u w:val="single"/>
          <w:lang w:eastAsia="pt-BR"/>
        </w:rPr>
        <w:t>não há elementos econômicos que justifiquem a proibição de novos prestadores de serviços de transporte individual</w:t>
      </w:r>
      <w:r w:rsidRPr="00A86A26">
        <w:rPr>
          <w:rFonts w:ascii="Palatino Linotype" w:eastAsia="Times New Roman" w:hAnsi="Palatino Linotype"/>
          <w:sz w:val="22"/>
          <w:lang w:eastAsia="pt-BR"/>
        </w:rPr>
        <w:t>. Para além disso, elementos econômicos sugerem que, sob uma ótica concorrencial e do consumidor, a atuação de novos agentes tende a ser positiva.</w:t>
      </w:r>
    </w:p>
    <w:p w:rsidR="00101BA7" w:rsidRDefault="00101BA7" w:rsidP="00A86A26">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w:t>
      </w:r>
    </w:p>
    <w:p w:rsidR="003A0E9F" w:rsidRDefault="003A0E9F" w:rsidP="003A0E9F">
      <w:pPr>
        <w:spacing w:before="100" w:beforeAutospacing="1" w:after="0" w:line="264" w:lineRule="auto"/>
        <w:ind w:left="2268" w:firstLine="0"/>
        <w:rPr>
          <w:rFonts w:ascii="Palatino Linotype" w:eastAsia="Times New Roman" w:hAnsi="Palatino Linotype"/>
          <w:sz w:val="22"/>
          <w:lang w:eastAsia="pt-BR"/>
        </w:rPr>
      </w:pPr>
      <w:r w:rsidRPr="003A0E9F">
        <w:rPr>
          <w:rFonts w:ascii="Palatino Linotype" w:eastAsia="Times New Roman" w:hAnsi="Palatino Linotype"/>
          <w:sz w:val="22"/>
          <w:lang w:eastAsia="pt-BR"/>
        </w:rPr>
        <w:t>Partindo desta ótica, não faria sentido restringir a entrada de caronas pagas</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mediadas pelos aplicativos, uma vez que tais serviços de fato providenciam um</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mecanismo de auto regulação bastante satisfatório, além de atender um mercado</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até então não abrangido (ou abrangido de forma insatisfatória) pelos táxis, e</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também providenciando rivalidade adicional ao mercado de transporte individual</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de passageiros. Em suma, as inovações poderiam endereçar amplamente os</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problemas regulatórios dos mercados de táxis, desde que os segmentos de rua</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fossem perdendo participação para o segmento porta a porta</w:t>
      </w:r>
      <w:r>
        <w:rPr>
          <w:rFonts w:ascii="Palatino Linotype" w:eastAsia="Times New Roman" w:hAnsi="Palatino Linotype"/>
          <w:sz w:val="22"/>
          <w:lang w:eastAsia="pt-BR"/>
        </w:rPr>
        <w:t>.</w:t>
      </w:r>
    </w:p>
    <w:p w:rsidR="00327077" w:rsidRDefault="003A0E9F" w:rsidP="003A0E9F">
      <w:pPr>
        <w:spacing w:before="100" w:beforeAutospacing="1" w:after="0" w:line="264" w:lineRule="auto"/>
        <w:ind w:left="2268" w:firstLine="0"/>
        <w:rPr>
          <w:rFonts w:ascii="Palatino Linotype" w:eastAsia="Times New Roman" w:hAnsi="Palatino Linotype"/>
          <w:sz w:val="22"/>
          <w:lang w:eastAsia="pt-BR"/>
        </w:rPr>
      </w:pPr>
      <w:r w:rsidRPr="003A0E9F">
        <w:rPr>
          <w:rFonts w:ascii="Palatino Linotype" w:eastAsia="Times New Roman" w:hAnsi="Palatino Linotype"/>
          <w:sz w:val="22"/>
          <w:lang w:eastAsia="pt-BR"/>
        </w:rPr>
        <w:t xml:space="preserve">O argumento acima é novamente </w:t>
      </w:r>
      <w:r>
        <w:rPr>
          <w:rFonts w:ascii="Palatino Linotype" w:eastAsia="Times New Roman" w:hAnsi="Palatino Linotype"/>
          <w:sz w:val="22"/>
          <w:lang w:eastAsia="pt-BR"/>
        </w:rPr>
        <w:t>sintetizado em decisão de Mandad</w:t>
      </w:r>
      <w:r w:rsidRPr="003A0E9F">
        <w:rPr>
          <w:rFonts w:ascii="Palatino Linotype" w:eastAsia="Times New Roman" w:hAnsi="Palatino Linotype"/>
          <w:sz w:val="22"/>
          <w:lang w:eastAsia="pt-BR"/>
        </w:rPr>
        <w:t>o de</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Segurança impetrado por um motorista usuário do aplicativo UBER contra</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autoridade coatora (Presidente do Departamento de Transportes Rodoviários do</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Estado do Rio de Janeiro/RJ), proferida pelo juiz Bruno Vinícius da Rós Bodart</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nos autos do processo 0346273-34.2015.8.19.0001 da 1a Vara de Fazenda</w:t>
      </w:r>
      <w:r>
        <w:rPr>
          <w:rFonts w:ascii="Palatino Linotype" w:eastAsia="Times New Roman" w:hAnsi="Palatino Linotype"/>
          <w:sz w:val="22"/>
          <w:lang w:eastAsia="pt-BR"/>
        </w:rPr>
        <w:t xml:space="preserve"> </w:t>
      </w:r>
      <w:r w:rsidRPr="003A0E9F">
        <w:rPr>
          <w:rFonts w:ascii="Palatino Linotype" w:eastAsia="Times New Roman" w:hAnsi="Palatino Linotype"/>
          <w:sz w:val="22"/>
          <w:lang w:eastAsia="pt-BR"/>
        </w:rPr>
        <w:t>Pública do Rio de Janeiro</w:t>
      </w:r>
      <w:r w:rsidR="00327077">
        <w:rPr>
          <w:rFonts w:ascii="Palatino Linotype" w:eastAsia="Times New Roman" w:hAnsi="Palatino Linotype"/>
          <w:sz w:val="22"/>
          <w:lang w:eastAsia="pt-BR"/>
        </w:rPr>
        <w:t>:</w:t>
      </w:r>
    </w:p>
    <w:p w:rsidR="00327077" w:rsidRDefault="00327077" w:rsidP="00327077">
      <w:pPr>
        <w:spacing w:before="100" w:beforeAutospacing="1" w:after="0" w:line="264" w:lineRule="auto"/>
        <w:ind w:left="2835" w:firstLine="0"/>
        <w:rPr>
          <w:rFonts w:ascii="Palatino Linotype" w:eastAsia="Times New Roman" w:hAnsi="Palatino Linotype"/>
          <w:sz w:val="22"/>
          <w:lang w:eastAsia="pt-BR"/>
        </w:rPr>
      </w:pPr>
      <w:r w:rsidRPr="00327077">
        <w:rPr>
          <w:rFonts w:ascii="Palatino Linotype" w:eastAsia="Times New Roman" w:hAnsi="Palatino Linotype"/>
          <w:sz w:val="22"/>
          <w:lang w:eastAsia="pt-BR"/>
        </w:rPr>
        <w:t>“(...) há indícios significativos de que a iniciativa estatal é fruto de captura</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regulatória e não está voltada à promoção do melhor interesse público. A</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rigor, a consistência jurídica da escolha proibitiva é frágil. De um lado, existe</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um serviço bem qualificado e cada vez mais utilizado pela sociedade. De</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outro, há a oposição ferrenha de governantes à atividade; oposição essa</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fomentada, é bom que se frise, por grupos de interesse que, afortunados</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pelas escassas permissões outorgadas, logram rendas extraordinárias na</w:t>
      </w:r>
      <w:r>
        <w:rPr>
          <w:rFonts w:ascii="Palatino Linotype" w:eastAsia="Times New Roman" w:hAnsi="Palatino Linotype"/>
          <w:sz w:val="22"/>
          <w:lang w:eastAsia="pt-BR"/>
        </w:rPr>
        <w:t xml:space="preserve"> </w:t>
      </w:r>
      <w:r w:rsidRPr="00327077">
        <w:rPr>
          <w:rFonts w:ascii="Palatino Linotype" w:eastAsia="Times New Roman" w:hAnsi="Palatino Linotype"/>
          <w:sz w:val="22"/>
          <w:lang w:eastAsia="pt-BR"/>
        </w:rPr>
        <w:t>exploração do serviço”</w:t>
      </w:r>
    </w:p>
    <w:p w:rsidR="0088253B" w:rsidRDefault="003A0E9F" w:rsidP="0088253B">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w:t>
      </w:r>
      <w:r w:rsidR="0088253B">
        <w:rPr>
          <w:rFonts w:ascii="Palatino Linotype" w:eastAsia="Times New Roman" w:hAnsi="Palatino Linotype"/>
          <w:sz w:val="22"/>
          <w:lang w:eastAsia="pt-BR"/>
        </w:rPr>
        <w:t xml:space="preserve"> </w:t>
      </w:r>
      <w:r w:rsidR="0088253B" w:rsidRPr="0088253B">
        <w:rPr>
          <w:rFonts w:ascii="Palatino Linotype" w:eastAsia="Times New Roman" w:hAnsi="Palatino Linotype"/>
          <w:sz w:val="22"/>
          <w:lang w:eastAsia="pt-BR"/>
        </w:rPr>
        <w:t>mesmo reconhecendo o fato de que planejadores urbanos,</w:t>
      </w:r>
      <w:r w:rsidR="0088253B">
        <w:rPr>
          <w:rFonts w:ascii="Palatino Linotype" w:eastAsia="Times New Roman" w:hAnsi="Palatino Linotype"/>
          <w:sz w:val="22"/>
          <w:lang w:eastAsia="pt-BR"/>
        </w:rPr>
        <w:t xml:space="preserve"> </w:t>
      </w:r>
      <w:r w:rsidR="0088253B" w:rsidRPr="0088253B">
        <w:rPr>
          <w:rFonts w:ascii="Palatino Linotype" w:eastAsia="Times New Roman" w:hAnsi="Palatino Linotype"/>
          <w:sz w:val="22"/>
          <w:lang w:eastAsia="pt-BR"/>
        </w:rPr>
        <w:t>economistas urbanos e legisladores locais persigam políticas anti-sprawl, o fato</w:t>
      </w:r>
      <w:r w:rsidR="0088253B">
        <w:rPr>
          <w:rFonts w:ascii="Palatino Linotype" w:eastAsia="Times New Roman" w:hAnsi="Palatino Linotype"/>
          <w:sz w:val="22"/>
          <w:lang w:eastAsia="pt-BR"/>
        </w:rPr>
        <w:t xml:space="preserve"> </w:t>
      </w:r>
      <w:r w:rsidR="0088253B" w:rsidRPr="0088253B">
        <w:rPr>
          <w:rFonts w:ascii="Palatino Linotype" w:eastAsia="Times New Roman" w:hAnsi="Palatino Linotype"/>
          <w:sz w:val="22"/>
          <w:lang w:eastAsia="pt-BR"/>
        </w:rPr>
        <w:t>é que a proibição dos serviços de caronas pagas continua sendo economicamente</w:t>
      </w:r>
      <w:r w:rsidR="0088253B">
        <w:rPr>
          <w:rFonts w:ascii="Palatino Linotype" w:eastAsia="Times New Roman" w:hAnsi="Palatino Linotype"/>
          <w:sz w:val="22"/>
          <w:lang w:eastAsia="pt-BR"/>
        </w:rPr>
        <w:t xml:space="preserve"> </w:t>
      </w:r>
      <w:r w:rsidR="0088253B" w:rsidRPr="0088253B">
        <w:rPr>
          <w:rFonts w:ascii="Palatino Linotype" w:eastAsia="Times New Roman" w:hAnsi="Palatino Linotype"/>
          <w:sz w:val="22"/>
          <w:lang w:eastAsia="pt-BR"/>
        </w:rPr>
        <w:t>injustificada, por dois motivos básicos:</w:t>
      </w:r>
    </w:p>
    <w:p w:rsidR="0088253B" w:rsidRDefault="0088253B" w:rsidP="0088253B">
      <w:pPr>
        <w:spacing w:before="100" w:beforeAutospacing="1" w:after="0" w:line="264" w:lineRule="auto"/>
        <w:ind w:left="2268" w:firstLine="0"/>
        <w:rPr>
          <w:rFonts w:ascii="Palatino Linotype" w:eastAsia="Times New Roman" w:hAnsi="Palatino Linotype"/>
          <w:sz w:val="22"/>
          <w:lang w:eastAsia="pt-BR"/>
        </w:rPr>
      </w:pPr>
      <w:r w:rsidRPr="0088253B">
        <w:rPr>
          <w:rFonts w:ascii="Palatino Linotype" w:eastAsia="Times New Roman" w:hAnsi="Palatino Linotype"/>
          <w:sz w:val="22"/>
          <w:lang w:eastAsia="pt-BR"/>
        </w:rPr>
        <w:lastRenderedPageBreak/>
        <w:t>Como será visto adiante, a ciência econômica fornece um conjunto de</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elementos analíticos para a mensuração e a simulação de potenciais efeitos</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decorrentes de externalidades de consumo, bem como um rol de proposições</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de políticas públicas mitigadoras de tais efeitos, de modo que a proibição</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ou banimento de qualquer solução que traga aumento de bem-estar</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a um grupo de consumidores seria desnecessária e</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contraproducente;</w:t>
      </w:r>
    </w:p>
    <w:p w:rsidR="004B4208" w:rsidRDefault="0088253B" w:rsidP="0088253B">
      <w:pPr>
        <w:spacing w:before="100" w:beforeAutospacing="1" w:after="0" w:line="264" w:lineRule="auto"/>
        <w:ind w:left="2268" w:firstLine="0"/>
        <w:rPr>
          <w:rFonts w:ascii="Palatino Linotype" w:eastAsia="Times New Roman" w:hAnsi="Palatino Linotype"/>
          <w:sz w:val="22"/>
          <w:lang w:eastAsia="pt-BR"/>
        </w:rPr>
      </w:pPr>
      <w:r w:rsidRPr="0088253B">
        <w:rPr>
          <w:rFonts w:ascii="Palatino Linotype" w:eastAsia="Times New Roman" w:hAnsi="Palatino Linotype"/>
          <w:sz w:val="22"/>
          <w:lang w:eastAsia="pt-BR"/>
        </w:rPr>
        <w:t>Não é possível descartar a hipótese de que os planejadores e economistas</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urbanos possam criar os incentivos necessários para que os mercados</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de caronas pagas operem de forma neutra-sprawl ou até mesmo em</w:t>
      </w:r>
      <w:r>
        <w:rPr>
          <w:rFonts w:ascii="Palatino Linotype" w:eastAsia="Times New Roman" w:hAnsi="Palatino Linotype"/>
          <w:sz w:val="22"/>
          <w:lang w:eastAsia="pt-BR"/>
        </w:rPr>
        <w:t xml:space="preserve"> </w:t>
      </w:r>
      <w:r w:rsidRPr="0088253B">
        <w:rPr>
          <w:rFonts w:ascii="Palatino Linotype" w:eastAsia="Times New Roman" w:hAnsi="Palatino Linotype"/>
          <w:sz w:val="22"/>
          <w:lang w:eastAsia="pt-BR"/>
        </w:rPr>
        <w:t>consonância com uma agenda anti-sprawl.</w:t>
      </w:r>
    </w:p>
    <w:p w:rsidR="00A86A26" w:rsidRPr="00A86A26" w:rsidRDefault="004B4208" w:rsidP="004B4208">
      <w:pPr>
        <w:spacing w:before="100" w:beforeAutospacing="1" w:after="0" w:line="264" w:lineRule="auto"/>
        <w:ind w:left="2268" w:firstLine="0"/>
        <w:rPr>
          <w:rFonts w:ascii="Palatino Linotype" w:eastAsia="Times New Roman" w:hAnsi="Palatino Linotype"/>
          <w:sz w:val="22"/>
          <w:lang w:eastAsia="pt-BR"/>
        </w:rPr>
      </w:pP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o mercado de caronas pagas é</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operacionalizado por meio de aplicativos de smartphones, logo tende a operar</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exclusivamente no segmento de transporte individual porta a porta (prebooking),</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ou seja, não concorre com os espaços dedicados aos pontos de táxi</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(rank hiring) e nem circula pelas vias públicas em busca de passageiros (hailing).</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Caso o mercado de caronas pagas substitua uma fração significativa de carros</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particulares, que até então eram utilizados com o objetivo de transportar pessoas</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até seus locais de trabalho (geralmente nos centros), a demanda por</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estacionamentos nos centros das cidades tenderia a ser reduzida, abrindo assim</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espaço para um maior grau de adensamento nos centros urbanos, além de maior</w:t>
      </w:r>
      <w:r>
        <w:rPr>
          <w:rFonts w:ascii="Palatino Linotype" w:eastAsia="Times New Roman" w:hAnsi="Palatino Linotype"/>
          <w:sz w:val="22"/>
          <w:lang w:eastAsia="pt-BR"/>
        </w:rPr>
        <w:t xml:space="preserve"> </w:t>
      </w:r>
      <w:r w:rsidRPr="004B4208">
        <w:rPr>
          <w:rFonts w:ascii="Palatino Linotype" w:eastAsia="Times New Roman" w:hAnsi="Palatino Linotype"/>
          <w:sz w:val="22"/>
          <w:lang w:eastAsia="pt-BR"/>
        </w:rPr>
        <w:t>compactação das cidades.</w:t>
      </w:r>
      <w:r w:rsidR="00A86A26" w:rsidRPr="00A86A26">
        <w:rPr>
          <w:rFonts w:ascii="Palatino Linotype" w:eastAsia="Times New Roman" w:hAnsi="Palatino Linotype"/>
          <w:sz w:val="22"/>
          <w:lang w:eastAsia="pt-BR"/>
        </w:rPr>
        <w:t>”</w:t>
      </w:r>
    </w:p>
    <w:p w:rsidR="005C28C0" w:rsidRPr="00A86A26" w:rsidRDefault="005C28C0" w:rsidP="00A86A26">
      <w:pPr>
        <w:spacing w:before="100" w:beforeAutospacing="1" w:after="0" w:line="264" w:lineRule="auto"/>
        <w:ind w:left="2268" w:firstLine="0"/>
        <w:rPr>
          <w:rFonts w:ascii="Palatino Linotype" w:eastAsia="Times New Roman" w:hAnsi="Palatino Linotype"/>
          <w:sz w:val="22"/>
          <w:lang w:eastAsia="pt-BR"/>
        </w:rPr>
      </w:pPr>
      <w:r w:rsidRPr="00A86A26">
        <w:rPr>
          <w:rFonts w:ascii="Palatino Linotype" w:eastAsia="Times New Roman" w:hAnsi="Palatino Linotype"/>
          <w:sz w:val="22"/>
          <w:lang w:eastAsia="pt-BR"/>
        </w:rPr>
        <w:t>(Departamento de Estudos Econômicos – DEE, CADE. “</w:t>
      </w:r>
      <w:r w:rsidR="000867EE" w:rsidRPr="00A86A26">
        <w:rPr>
          <w:rFonts w:ascii="Palatino Linotype" w:eastAsia="Times New Roman" w:hAnsi="Palatino Linotype"/>
          <w:sz w:val="22"/>
          <w:lang w:eastAsia="pt-BR"/>
        </w:rPr>
        <w:t>O Mercado de Transporte Individual de Passageiros: Regulação, Externalidades e Equilíbrio Urbano</w:t>
      </w:r>
      <w:r w:rsidRPr="00A86A26">
        <w:rPr>
          <w:rFonts w:ascii="Palatino Linotype" w:eastAsia="Times New Roman" w:hAnsi="Palatino Linotype"/>
          <w:sz w:val="22"/>
          <w:lang w:eastAsia="pt-BR"/>
        </w:rPr>
        <w:t>”.</w:t>
      </w:r>
      <w:r w:rsidR="003A0E9F">
        <w:rPr>
          <w:rFonts w:ascii="Palatino Linotype" w:eastAsia="Times New Roman" w:hAnsi="Palatino Linotype"/>
          <w:sz w:val="22"/>
          <w:lang w:eastAsia="pt-BR"/>
        </w:rPr>
        <w:t xml:space="preserve"> p. 6, 8-9</w:t>
      </w:r>
      <w:r w:rsidR="004B4208">
        <w:rPr>
          <w:rFonts w:ascii="Palatino Linotype" w:eastAsia="Times New Roman" w:hAnsi="Palatino Linotype"/>
          <w:sz w:val="22"/>
          <w:lang w:eastAsia="pt-BR"/>
        </w:rPr>
        <w:t>, 14-15.</w:t>
      </w:r>
      <w:r w:rsidRPr="00A86A26">
        <w:rPr>
          <w:rFonts w:ascii="Palatino Linotype" w:eastAsia="Times New Roman" w:hAnsi="Palatino Linotype"/>
          <w:sz w:val="22"/>
          <w:lang w:eastAsia="pt-BR"/>
        </w:rPr>
        <w:t xml:space="preserve"> Disponível em &lt;www.cade.gov.br&gt;)</w:t>
      </w:r>
    </w:p>
    <w:p w:rsidR="0045176F" w:rsidRDefault="00A12191"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À guisa de conclusão</w:t>
      </w:r>
      <w:r w:rsidR="007D6389">
        <w:rPr>
          <w:rFonts w:ascii="Palatino Linotype" w:eastAsia="Times New Roman" w:hAnsi="Palatino Linotype"/>
          <w:sz w:val="26"/>
          <w:szCs w:val="26"/>
          <w:lang w:eastAsia="pt-BR"/>
        </w:rPr>
        <w:t xml:space="preserve">, </w:t>
      </w:r>
      <w:r>
        <w:rPr>
          <w:rFonts w:ascii="Palatino Linotype" w:eastAsia="Times New Roman" w:hAnsi="Palatino Linotype"/>
          <w:sz w:val="26"/>
          <w:szCs w:val="26"/>
          <w:lang w:eastAsia="pt-BR"/>
        </w:rPr>
        <w:t xml:space="preserve">assento </w:t>
      </w:r>
      <w:r w:rsidR="007D6389">
        <w:rPr>
          <w:rFonts w:ascii="Palatino Linotype" w:eastAsia="Times New Roman" w:hAnsi="Palatino Linotype"/>
          <w:sz w:val="26"/>
          <w:szCs w:val="26"/>
          <w:lang w:eastAsia="pt-BR"/>
        </w:rPr>
        <w:t xml:space="preserve">que as liberdades fundamentais consagram limites substanciais ao poder do Estado, legitimando-se o controle jurisdicional sempre que forem objeto de intervenções regulatórias arbitrárias. Considera-se arbitrária, em primeiro lugar, a medida que possua objetivo vedado pela Constituição, como nos casos em que se destinam a favorecer indevidamente grupos de pressão, resultando de evidente captura regulatória. Além disso, é arbitrária a medida que </w:t>
      </w:r>
      <w:r w:rsidR="007D6389">
        <w:rPr>
          <w:rFonts w:ascii="Palatino Linotype" w:eastAsia="Times New Roman" w:hAnsi="Palatino Linotype"/>
          <w:sz w:val="26"/>
          <w:szCs w:val="26"/>
          <w:lang w:eastAsia="pt-BR"/>
        </w:rPr>
        <w:lastRenderedPageBreak/>
        <w:t xml:space="preserve">limite liberdades fundamentais, como as de iniciativa (art. 1º, IV, e 170 da Constituição) e de exercício profissional (art. 5º, XIII, da Constituição), sem evidências razoáveis de que </w:t>
      </w:r>
      <w:r w:rsidR="006816AB">
        <w:rPr>
          <w:rFonts w:ascii="Palatino Linotype" w:eastAsia="Times New Roman" w:hAnsi="Palatino Linotype"/>
          <w:sz w:val="26"/>
          <w:szCs w:val="26"/>
          <w:lang w:eastAsia="pt-BR"/>
        </w:rPr>
        <w:t xml:space="preserve">seja </w:t>
      </w:r>
      <w:r w:rsidR="006816AB">
        <w:rPr>
          <w:rFonts w:ascii="Palatino Linotype" w:eastAsia="Times New Roman" w:hAnsi="Palatino Linotype"/>
          <w:i/>
          <w:sz w:val="26"/>
          <w:szCs w:val="26"/>
          <w:lang w:eastAsia="pt-BR"/>
        </w:rPr>
        <w:t xml:space="preserve">adequada </w:t>
      </w:r>
      <w:r w:rsidR="006816AB">
        <w:rPr>
          <w:rFonts w:ascii="Palatino Linotype" w:eastAsia="Times New Roman" w:hAnsi="Palatino Linotype"/>
          <w:sz w:val="26"/>
          <w:szCs w:val="26"/>
          <w:lang w:eastAsia="pt-BR"/>
        </w:rPr>
        <w:t>a produzir</w:t>
      </w:r>
      <w:r w:rsidR="007D6389">
        <w:rPr>
          <w:rFonts w:ascii="Palatino Linotype" w:eastAsia="Times New Roman" w:hAnsi="Palatino Linotype"/>
          <w:sz w:val="26"/>
          <w:szCs w:val="26"/>
          <w:lang w:eastAsia="pt-BR"/>
        </w:rPr>
        <w:t xml:space="preserve"> benefícios sociais cuja consecução igualmente seja constitucionalmente ordenada.</w:t>
      </w:r>
      <w:r w:rsidR="00165299">
        <w:rPr>
          <w:rFonts w:ascii="Palatino Linotype" w:eastAsia="Times New Roman" w:hAnsi="Palatino Linotype"/>
          <w:sz w:val="26"/>
          <w:szCs w:val="26"/>
          <w:lang w:eastAsia="pt-BR"/>
        </w:rPr>
        <w:t xml:space="preserve"> Da mesma forma,</w:t>
      </w:r>
      <w:r w:rsidR="00F77F01">
        <w:rPr>
          <w:rFonts w:ascii="Palatino Linotype" w:eastAsia="Times New Roman" w:hAnsi="Palatino Linotype"/>
          <w:sz w:val="26"/>
          <w:szCs w:val="26"/>
          <w:lang w:eastAsia="pt-BR"/>
        </w:rPr>
        <w:t xml:space="preserve"> deve ser reconhecida como arbitrária a medida quando o regulador ignora alternativas evidentes para a produção do mesmo benefício social e que não produzem os mesmos prejuízos às liberdades fundamentais, falhando no teste de </w:t>
      </w:r>
      <w:r w:rsidR="00F77F01">
        <w:rPr>
          <w:rFonts w:ascii="Palatino Linotype" w:eastAsia="Times New Roman" w:hAnsi="Palatino Linotype"/>
          <w:i/>
          <w:sz w:val="26"/>
          <w:szCs w:val="26"/>
          <w:lang w:eastAsia="pt-BR"/>
        </w:rPr>
        <w:t>necessidade</w:t>
      </w:r>
      <w:r w:rsidR="00F77F01">
        <w:rPr>
          <w:rFonts w:ascii="Palatino Linotype" w:eastAsia="Times New Roman" w:hAnsi="Palatino Linotype"/>
          <w:sz w:val="26"/>
          <w:szCs w:val="26"/>
          <w:lang w:eastAsia="pt-BR"/>
        </w:rPr>
        <w:t>, reconhecido por esta Corte ao menos desde o julgamento da Ação Direta de Inconstitucion</w:t>
      </w:r>
      <w:r w:rsidR="006816AB">
        <w:rPr>
          <w:rFonts w:ascii="Palatino Linotype" w:eastAsia="Times New Roman" w:hAnsi="Palatino Linotype"/>
          <w:sz w:val="26"/>
          <w:szCs w:val="26"/>
          <w:lang w:eastAsia="pt-BR"/>
        </w:rPr>
        <w:t xml:space="preserve">alidade nº 9 (Relator(a): </w:t>
      </w:r>
      <w:r w:rsidR="006816AB" w:rsidRPr="006816AB">
        <w:rPr>
          <w:rFonts w:ascii="Palatino Linotype" w:eastAsia="Times New Roman" w:hAnsi="Palatino Linotype"/>
          <w:sz w:val="26"/>
          <w:szCs w:val="26"/>
          <w:lang w:eastAsia="pt-BR"/>
        </w:rPr>
        <w:t>Min. NÉRI DA SI</w:t>
      </w:r>
      <w:r w:rsidR="006816AB">
        <w:rPr>
          <w:rFonts w:ascii="Palatino Linotype" w:eastAsia="Times New Roman" w:hAnsi="Palatino Linotype"/>
          <w:sz w:val="26"/>
          <w:szCs w:val="26"/>
          <w:lang w:eastAsia="pt-BR"/>
        </w:rPr>
        <w:t xml:space="preserve">LVEIRA, Relator(a) p/ Acórdão: </w:t>
      </w:r>
      <w:r w:rsidR="006816AB" w:rsidRPr="006816AB">
        <w:rPr>
          <w:rFonts w:ascii="Palatino Linotype" w:eastAsia="Times New Roman" w:hAnsi="Palatino Linotype"/>
          <w:sz w:val="26"/>
          <w:szCs w:val="26"/>
          <w:lang w:eastAsia="pt-BR"/>
        </w:rPr>
        <w:t>Min. ELLEN GRACIE, Tribunal Pleno, julgado em 13/12/2001</w:t>
      </w:r>
      <w:r w:rsidR="006816AB">
        <w:rPr>
          <w:rFonts w:ascii="Palatino Linotype" w:eastAsia="Times New Roman" w:hAnsi="Palatino Linotype"/>
          <w:sz w:val="26"/>
          <w:szCs w:val="26"/>
          <w:lang w:eastAsia="pt-BR"/>
        </w:rPr>
        <w:t>). Finalmente, a medida merece a qualificação de arbitrária</w:t>
      </w:r>
      <w:r w:rsidR="00F62F0B">
        <w:rPr>
          <w:rFonts w:ascii="Palatino Linotype" w:eastAsia="Times New Roman" w:hAnsi="Palatino Linotype"/>
          <w:sz w:val="26"/>
          <w:szCs w:val="26"/>
          <w:lang w:eastAsia="pt-BR"/>
        </w:rPr>
        <w:t xml:space="preserve"> quando apresentar desproporção manifesta e injustificada entre, de um lado, seus potenciais benefícios e, de outro, seus potenciais prejuízos a valores constitucionalmente protegidos.</w:t>
      </w:r>
    </w:p>
    <w:p w:rsidR="005C28C0" w:rsidRDefault="00F62F0B" w:rsidP="00211B8E">
      <w:pPr>
        <w:spacing w:before="100" w:beforeAutospacing="1" w:after="0" w:line="264" w:lineRule="auto"/>
        <w:ind w:firstLine="567"/>
        <w:rPr>
          <w:rFonts w:ascii="Palatino Linotype" w:eastAsia="Times New Roman" w:hAnsi="Palatino Linotype"/>
          <w:sz w:val="26"/>
          <w:szCs w:val="26"/>
          <w:lang w:val="en-US" w:eastAsia="pt-BR"/>
        </w:rPr>
      </w:pPr>
      <w:r>
        <w:rPr>
          <w:rFonts w:ascii="Palatino Linotype" w:eastAsia="Times New Roman" w:hAnsi="Palatino Linotype"/>
          <w:sz w:val="26"/>
          <w:szCs w:val="26"/>
          <w:lang w:eastAsia="pt-BR"/>
        </w:rPr>
        <w:t xml:space="preserve">Sobre este último critério de controle judicial, é pertinente a menção a recentíssimo caso julgado pela Suprema Corte dos Estados Unidos, qual seja, </w:t>
      </w:r>
      <w:r>
        <w:rPr>
          <w:rFonts w:ascii="Palatino Linotype" w:eastAsia="Times New Roman" w:hAnsi="Palatino Linotype"/>
          <w:i/>
          <w:sz w:val="26"/>
          <w:szCs w:val="26"/>
          <w:lang w:eastAsia="pt-BR"/>
        </w:rPr>
        <w:t xml:space="preserve">Michigan v. Environmental Protection Agency (EPA) </w:t>
      </w:r>
      <w:r>
        <w:rPr>
          <w:rFonts w:ascii="Palatino Linotype" w:eastAsia="Times New Roman" w:hAnsi="Palatino Linotype"/>
          <w:sz w:val="26"/>
          <w:szCs w:val="26"/>
          <w:lang w:eastAsia="pt-BR"/>
        </w:rPr>
        <w:t>[576 U. S. _ (2015)].</w:t>
      </w:r>
      <w:r w:rsidR="0045176F">
        <w:rPr>
          <w:rFonts w:ascii="Palatino Linotype" w:eastAsia="Times New Roman" w:hAnsi="Palatino Linotype"/>
          <w:sz w:val="26"/>
          <w:szCs w:val="26"/>
          <w:lang w:eastAsia="pt-BR"/>
        </w:rPr>
        <w:t xml:space="preserve"> No voto acompanhado pela maioria, afirmou-se categoricamente que, </w:t>
      </w:r>
      <w:r w:rsidR="0045176F">
        <w:rPr>
          <w:rFonts w:ascii="Palatino Linotype" w:eastAsia="Times New Roman" w:hAnsi="Palatino Linotype"/>
          <w:i/>
          <w:sz w:val="26"/>
          <w:szCs w:val="26"/>
          <w:lang w:eastAsia="pt-BR"/>
        </w:rPr>
        <w:t>verbis</w:t>
      </w:r>
      <w:r w:rsidR="0045176F">
        <w:rPr>
          <w:rFonts w:ascii="Palatino Linotype" w:eastAsia="Times New Roman" w:hAnsi="Palatino Linotype"/>
          <w:sz w:val="26"/>
          <w:szCs w:val="26"/>
          <w:lang w:eastAsia="pt-BR"/>
        </w:rPr>
        <w:t xml:space="preserve">: “Não se pode dizer que é racional, muito menos ‘apropriado’, impor bilhões de dólares em custos econômicos em troca de poucos dólares em termos de saúde ou benefícios ambientais (...). A consideração dos custos reflete o entendimento de que a razoabilidade da regulação normalmente requer atenção às vantagens e desvantagens das decisões do regulador.” </w:t>
      </w:r>
      <w:r w:rsidR="0045176F" w:rsidRPr="0045176F">
        <w:rPr>
          <w:rFonts w:ascii="Palatino Linotype" w:eastAsia="Times New Roman" w:hAnsi="Palatino Linotype"/>
          <w:sz w:val="26"/>
          <w:szCs w:val="26"/>
          <w:lang w:val="en-US" w:eastAsia="pt-BR"/>
        </w:rPr>
        <w:t>(No original: “</w:t>
      </w:r>
      <w:r w:rsidR="0045176F" w:rsidRPr="0045176F">
        <w:rPr>
          <w:rFonts w:ascii="Palatino Linotype" w:eastAsia="Times New Roman" w:hAnsi="Palatino Linotype"/>
          <w:i/>
          <w:sz w:val="26"/>
          <w:szCs w:val="26"/>
          <w:lang w:val="en-US" w:eastAsia="pt-BR"/>
        </w:rPr>
        <w:t>One would not say that it is even rational, never mind ‘appropriate’, to impose billions of dollars in economic costs in return for a few dollars in health or environmental benefits</w:t>
      </w:r>
      <w:r w:rsidR="0045176F">
        <w:rPr>
          <w:rFonts w:ascii="Palatino Linotype" w:eastAsia="Times New Roman" w:hAnsi="Palatino Linotype"/>
          <w:i/>
          <w:sz w:val="26"/>
          <w:szCs w:val="26"/>
          <w:lang w:val="en-US" w:eastAsia="pt-BR"/>
        </w:rPr>
        <w:t xml:space="preserve"> </w:t>
      </w:r>
      <w:r w:rsidR="0045176F" w:rsidRPr="0045176F">
        <w:rPr>
          <w:rFonts w:ascii="Palatino Linotype" w:eastAsia="Times New Roman" w:hAnsi="Palatino Linotype"/>
          <w:sz w:val="26"/>
          <w:szCs w:val="26"/>
          <w:lang w:val="en-US" w:eastAsia="pt-BR"/>
        </w:rPr>
        <w:t>(…)</w:t>
      </w:r>
      <w:r w:rsidR="0045176F" w:rsidRPr="0045176F">
        <w:rPr>
          <w:rFonts w:ascii="Palatino Linotype" w:eastAsia="Times New Roman" w:hAnsi="Palatino Linotype"/>
          <w:i/>
          <w:sz w:val="26"/>
          <w:szCs w:val="26"/>
          <w:lang w:val="en-US" w:eastAsia="pt-BR"/>
        </w:rPr>
        <w:t>. Consideration of cost reflects the understanding that reasonable regulation ordinarily requires paying attention to the advantages and the disadvantages of agency decisions</w:t>
      </w:r>
      <w:r w:rsidR="0045176F" w:rsidRPr="0045176F">
        <w:rPr>
          <w:rFonts w:ascii="Palatino Linotype" w:eastAsia="Times New Roman" w:hAnsi="Palatino Linotype"/>
          <w:sz w:val="26"/>
          <w:szCs w:val="26"/>
          <w:lang w:val="en-US" w:eastAsia="pt-BR"/>
        </w:rPr>
        <w:t>”).</w:t>
      </w:r>
    </w:p>
    <w:p w:rsidR="00B2392F" w:rsidRDefault="00AD7D87" w:rsidP="00211B8E">
      <w:pPr>
        <w:spacing w:before="100" w:beforeAutospacing="1" w:after="0" w:line="264" w:lineRule="auto"/>
        <w:ind w:firstLine="567"/>
        <w:rPr>
          <w:rFonts w:ascii="Palatino Linotype" w:eastAsia="Times New Roman" w:hAnsi="Palatino Linotype"/>
          <w:sz w:val="26"/>
          <w:szCs w:val="26"/>
          <w:lang w:eastAsia="pt-BR"/>
        </w:rPr>
      </w:pPr>
      <w:r w:rsidRPr="00AD7D87">
        <w:rPr>
          <w:rFonts w:ascii="Palatino Linotype" w:eastAsia="Times New Roman" w:hAnsi="Palatino Linotype"/>
          <w:sz w:val="26"/>
          <w:szCs w:val="26"/>
          <w:lang w:eastAsia="pt-BR"/>
        </w:rPr>
        <w:t>Igualmente importante para a definição dessas balizas do cont</w:t>
      </w:r>
      <w:r>
        <w:rPr>
          <w:rFonts w:ascii="Palatino Linotype" w:eastAsia="Times New Roman" w:hAnsi="Palatino Linotype"/>
          <w:sz w:val="26"/>
          <w:szCs w:val="26"/>
          <w:lang w:eastAsia="pt-BR"/>
        </w:rPr>
        <w:t xml:space="preserve">role judicial de regulações à luz de liberdades constitucionalmente asseguradas é a conclusão de que </w:t>
      </w:r>
      <w:r w:rsidR="00D62935">
        <w:rPr>
          <w:rFonts w:ascii="Palatino Linotype" w:eastAsia="Times New Roman" w:hAnsi="Palatino Linotype"/>
          <w:sz w:val="26"/>
          <w:szCs w:val="26"/>
          <w:lang w:eastAsia="pt-BR"/>
        </w:rPr>
        <w:t xml:space="preserve">o ônus de justificação da medida restritiva compete ao poder público. Este ônus é atendido quando presentes razões de primeira ordem, assim entendidas as que demonstram, com evidências minimamente sustentáveis, </w:t>
      </w:r>
      <w:r w:rsidR="00C6627F">
        <w:rPr>
          <w:rFonts w:ascii="Palatino Linotype" w:eastAsia="Times New Roman" w:hAnsi="Palatino Linotype"/>
          <w:sz w:val="26"/>
          <w:szCs w:val="26"/>
          <w:lang w:eastAsia="pt-BR"/>
        </w:rPr>
        <w:t xml:space="preserve">os potenciais benefícios legítimos da medida, </w:t>
      </w:r>
      <w:r w:rsidR="00C6627F">
        <w:rPr>
          <w:rFonts w:ascii="Palatino Linotype" w:eastAsia="Times New Roman" w:hAnsi="Palatino Linotype"/>
          <w:sz w:val="26"/>
          <w:szCs w:val="26"/>
          <w:lang w:eastAsia="pt-BR"/>
        </w:rPr>
        <w:lastRenderedPageBreak/>
        <w:t xml:space="preserve">a razoabilidade da sua escolha à vista das alternativas manifestas, bem como </w:t>
      </w:r>
      <w:r w:rsidR="00BC391E">
        <w:rPr>
          <w:rFonts w:ascii="Palatino Linotype" w:eastAsia="Times New Roman" w:hAnsi="Palatino Linotype"/>
          <w:sz w:val="26"/>
          <w:szCs w:val="26"/>
          <w:lang w:eastAsia="pt-BR"/>
        </w:rPr>
        <w:t>que a relação de intensidade entre benefícios e restrições a liberdades fundamentais atende ao</w:t>
      </w:r>
      <w:r w:rsidR="005D0B76">
        <w:rPr>
          <w:rFonts w:ascii="Palatino Linotype" w:eastAsia="Times New Roman" w:hAnsi="Palatino Linotype"/>
          <w:sz w:val="26"/>
          <w:szCs w:val="26"/>
          <w:lang w:eastAsia="pt-BR"/>
        </w:rPr>
        <w:t xml:space="preserve"> ordenamento constitucional. Há também atendimento ao ônus de justificação quando existentes razões de segunda ordem, ou seja, em hipóteses nas quais não for possível a apresentação de razões de primeira ordem por demonstradas</w:t>
      </w:r>
      <w:r w:rsidR="008A4BE5">
        <w:rPr>
          <w:rFonts w:ascii="Palatino Linotype" w:eastAsia="Times New Roman" w:hAnsi="Palatino Linotype"/>
          <w:sz w:val="26"/>
          <w:szCs w:val="26"/>
          <w:lang w:eastAsia="pt-BR"/>
        </w:rPr>
        <w:t xml:space="preserve"> incertezas e</w:t>
      </w:r>
      <w:r w:rsidR="005D0B76">
        <w:rPr>
          <w:rFonts w:ascii="Palatino Linotype" w:eastAsia="Times New Roman" w:hAnsi="Palatino Linotype"/>
          <w:sz w:val="26"/>
          <w:szCs w:val="26"/>
          <w:lang w:eastAsia="pt-BR"/>
        </w:rPr>
        <w:t xml:space="preserve"> limitações</w:t>
      </w:r>
      <w:r w:rsidR="008A4BE5">
        <w:rPr>
          <w:rFonts w:ascii="Palatino Linotype" w:eastAsia="Times New Roman" w:hAnsi="Palatino Linotype"/>
          <w:sz w:val="26"/>
          <w:szCs w:val="26"/>
          <w:lang w:eastAsia="pt-BR"/>
        </w:rPr>
        <w:t xml:space="preserve"> inerentes a</w:t>
      </w:r>
      <w:r w:rsidR="005D0B76">
        <w:rPr>
          <w:rFonts w:ascii="Palatino Linotype" w:eastAsia="Times New Roman" w:hAnsi="Palatino Linotype"/>
          <w:sz w:val="26"/>
          <w:szCs w:val="26"/>
          <w:lang w:eastAsia="pt-BR"/>
        </w:rPr>
        <w:t>o processo de tomada de decisão</w:t>
      </w:r>
      <w:r w:rsidR="008A4BE5">
        <w:rPr>
          <w:rFonts w:ascii="Palatino Linotype" w:eastAsia="Times New Roman" w:hAnsi="Palatino Linotype"/>
          <w:sz w:val="26"/>
          <w:szCs w:val="26"/>
          <w:lang w:eastAsia="pt-BR"/>
        </w:rPr>
        <w:t xml:space="preserve"> no caso concreto</w:t>
      </w:r>
      <w:r w:rsidR="00B2392F">
        <w:rPr>
          <w:rFonts w:ascii="Palatino Linotype" w:eastAsia="Times New Roman" w:hAnsi="Palatino Linotype"/>
          <w:sz w:val="26"/>
          <w:szCs w:val="26"/>
          <w:lang w:eastAsia="pt-BR"/>
        </w:rPr>
        <w:t>.</w:t>
      </w:r>
    </w:p>
    <w:p w:rsidR="001435E6" w:rsidRDefault="00B2392F"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No campo das razões de segunda ordem, a</w:t>
      </w:r>
      <w:r w:rsidR="00DC6638">
        <w:rPr>
          <w:rFonts w:ascii="Palatino Linotype" w:eastAsia="Times New Roman" w:hAnsi="Palatino Linotype"/>
          <w:sz w:val="26"/>
          <w:szCs w:val="26"/>
          <w:lang w:eastAsia="pt-BR"/>
        </w:rPr>
        <w:t xml:space="preserve"> </w:t>
      </w:r>
      <w:r w:rsidR="008A4BE5">
        <w:rPr>
          <w:rFonts w:ascii="Palatino Linotype" w:eastAsia="Times New Roman" w:hAnsi="Palatino Linotype"/>
          <w:sz w:val="26"/>
          <w:szCs w:val="26"/>
          <w:lang w:eastAsia="pt-BR"/>
        </w:rPr>
        <w:t xml:space="preserve">incerteza pode decorrer da própria indefinição científica sobre os fatores envolvidos na análise, quando os </w:t>
      </w:r>
      <w:r w:rsidR="008A4BE5">
        <w:rPr>
          <w:rFonts w:ascii="Palatino Linotype" w:eastAsia="Times New Roman" w:hAnsi="Palatino Linotype"/>
          <w:i/>
          <w:sz w:val="26"/>
          <w:szCs w:val="26"/>
          <w:lang w:eastAsia="pt-BR"/>
        </w:rPr>
        <w:t>experts</w:t>
      </w:r>
      <w:r w:rsidR="008A4BE5">
        <w:rPr>
          <w:rFonts w:ascii="Palatino Linotype" w:eastAsia="Times New Roman" w:hAnsi="Palatino Linotype"/>
          <w:sz w:val="26"/>
          <w:szCs w:val="26"/>
          <w:lang w:eastAsia="pt-BR"/>
        </w:rPr>
        <w:t xml:space="preserve"> falham em definir </w:t>
      </w:r>
      <w:r w:rsidR="00A14443">
        <w:rPr>
          <w:rFonts w:ascii="Palatino Linotype" w:eastAsia="Times New Roman" w:hAnsi="Palatino Linotype"/>
          <w:sz w:val="26"/>
          <w:szCs w:val="26"/>
          <w:lang w:eastAsia="pt-BR"/>
        </w:rPr>
        <w:t>de forma suficiente</w:t>
      </w:r>
      <w:r w:rsidR="008A4BE5">
        <w:rPr>
          <w:rFonts w:ascii="Palatino Linotype" w:eastAsia="Times New Roman" w:hAnsi="Palatino Linotype"/>
          <w:sz w:val="26"/>
          <w:szCs w:val="26"/>
          <w:lang w:eastAsia="pt-BR"/>
        </w:rPr>
        <w:t xml:space="preserve"> os efeitos que determinada solução para um problema de política pública pode gerar, ou se não fornecem elementos suficientes para permitir uma clara comparação entre a medida e suas alternativas. O regulador pode, </w:t>
      </w:r>
      <w:r w:rsidR="00165299">
        <w:rPr>
          <w:rFonts w:ascii="Palatino Linotype" w:eastAsia="Times New Roman" w:hAnsi="Palatino Linotype"/>
          <w:sz w:val="26"/>
          <w:szCs w:val="26"/>
          <w:lang w:eastAsia="pt-BR"/>
        </w:rPr>
        <w:t>também</w:t>
      </w:r>
      <w:r w:rsidR="008A4BE5">
        <w:rPr>
          <w:rFonts w:ascii="Palatino Linotype" w:eastAsia="Times New Roman" w:hAnsi="Palatino Linotype"/>
          <w:sz w:val="26"/>
          <w:szCs w:val="26"/>
          <w:lang w:eastAsia="pt-BR"/>
        </w:rPr>
        <w:t>, deparar-se com limites de ordem temporal, de modo que a urgência para o atendimento de um interesse relevante impede a detida análise sobre as consequências da medida adotada.</w:t>
      </w:r>
      <w:r w:rsidR="00DC6638">
        <w:rPr>
          <w:rFonts w:ascii="Palatino Linotype" w:eastAsia="Times New Roman" w:hAnsi="Palatino Linotype"/>
          <w:sz w:val="26"/>
          <w:szCs w:val="26"/>
          <w:lang w:eastAsia="pt-BR"/>
        </w:rPr>
        <w:t xml:space="preserve"> A limitação pode, ainda, ser de recursos, quando o investimento necessário ao esclarecimento das premissas empíricas referentes à decisão regulatória não seria compensado pelos benefícios de realizar-se a escolha no cenário menos incerto possível.</w:t>
      </w:r>
      <w:r w:rsidR="009A4948">
        <w:rPr>
          <w:rFonts w:ascii="Palatino Linotype" w:eastAsia="Times New Roman" w:hAnsi="Palatino Linotype"/>
          <w:sz w:val="26"/>
          <w:szCs w:val="26"/>
          <w:lang w:eastAsia="pt-BR"/>
        </w:rPr>
        <w:t xml:space="preserve"> A respeito da vedação a </w:t>
      </w:r>
      <w:r w:rsidR="002F4810">
        <w:rPr>
          <w:rFonts w:ascii="Palatino Linotype" w:eastAsia="Times New Roman" w:hAnsi="Palatino Linotype"/>
          <w:sz w:val="26"/>
          <w:szCs w:val="26"/>
          <w:lang w:eastAsia="pt-BR"/>
        </w:rPr>
        <w:t>regulações</w:t>
      </w:r>
      <w:r w:rsidR="009A4948">
        <w:rPr>
          <w:rFonts w:ascii="Palatino Linotype" w:eastAsia="Times New Roman" w:hAnsi="Palatino Linotype"/>
          <w:sz w:val="26"/>
          <w:szCs w:val="26"/>
          <w:lang w:eastAsia="pt-BR"/>
        </w:rPr>
        <w:t xml:space="preserve"> “arbitr</w:t>
      </w:r>
      <w:r w:rsidR="002F4810">
        <w:rPr>
          <w:rFonts w:ascii="Palatino Linotype" w:eastAsia="Times New Roman" w:hAnsi="Palatino Linotype"/>
          <w:sz w:val="26"/>
          <w:szCs w:val="26"/>
          <w:lang w:eastAsia="pt-BR"/>
        </w:rPr>
        <w:t>ária</w:t>
      </w:r>
      <w:r w:rsidR="009A4948">
        <w:rPr>
          <w:rFonts w:ascii="Palatino Linotype" w:eastAsia="Times New Roman" w:hAnsi="Palatino Linotype"/>
          <w:sz w:val="26"/>
          <w:szCs w:val="26"/>
          <w:lang w:eastAsia="pt-BR"/>
        </w:rPr>
        <w:t xml:space="preserve">s” ou por “mero capricho” constante do </w:t>
      </w:r>
      <w:r w:rsidR="009A4948">
        <w:rPr>
          <w:rFonts w:ascii="Palatino Linotype" w:eastAsia="Times New Roman" w:hAnsi="Palatino Linotype"/>
          <w:i/>
          <w:sz w:val="26"/>
          <w:szCs w:val="26"/>
          <w:lang w:eastAsia="pt-BR"/>
        </w:rPr>
        <w:t xml:space="preserve">Administrative Procedure Act </w:t>
      </w:r>
      <w:r w:rsidR="009A4948">
        <w:rPr>
          <w:rFonts w:ascii="Palatino Linotype" w:eastAsia="Times New Roman" w:hAnsi="Palatino Linotype"/>
          <w:sz w:val="26"/>
          <w:szCs w:val="26"/>
          <w:lang w:eastAsia="pt-BR"/>
        </w:rPr>
        <w:t xml:space="preserve">(APA, </w:t>
      </w:r>
      <w:r w:rsidR="009A4948">
        <w:rPr>
          <w:rFonts w:ascii="Palatino Linotype" w:eastAsia="Times New Roman" w:hAnsi="Palatino Linotype"/>
          <w:i/>
          <w:sz w:val="26"/>
          <w:szCs w:val="26"/>
          <w:lang w:eastAsia="pt-BR"/>
        </w:rPr>
        <w:t>Section</w:t>
      </w:r>
      <w:r w:rsidR="009A4948">
        <w:rPr>
          <w:rFonts w:ascii="Palatino Linotype" w:eastAsia="Times New Roman" w:hAnsi="Palatino Linotype"/>
          <w:sz w:val="26"/>
          <w:szCs w:val="26"/>
          <w:lang w:eastAsia="pt-BR"/>
        </w:rPr>
        <w:t xml:space="preserve"> 706(2)(A)), o Professor da Universidade de Harvard Adrian Vermeule tece as seguintes considerações:</w:t>
      </w:r>
    </w:p>
    <w:p w:rsidR="00116DE3" w:rsidRPr="00AA2740" w:rsidRDefault="00116DE3" w:rsidP="003D47EA">
      <w:pPr>
        <w:spacing w:before="100" w:beforeAutospacing="1" w:after="0" w:line="264" w:lineRule="auto"/>
        <w:ind w:left="2268" w:firstLine="0"/>
        <w:rPr>
          <w:rFonts w:ascii="Palatino Linotype" w:eastAsia="Times New Roman" w:hAnsi="Palatino Linotype"/>
          <w:sz w:val="22"/>
          <w:lang w:eastAsia="pt-BR"/>
        </w:rPr>
      </w:pPr>
      <w:r w:rsidRPr="00AA2740">
        <w:rPr>
          <w:rFonts w:ascii="Palatino Linotype" w:eastAsia="Times New Roman" w:hAnsi="Palatino Linotype"/>
          <w:sz w:val="22"/>
          <w:lang w:eastAsia="pt-BR"/>
        </w:rPr>
        <w:t>“</w:t>
      </w:r>
      <w:r w:rsidR="00AA2740" w:rsidRPr="00AA2740">
        <w:rPr>
          <w:rFonts w:ascii="Palatino Linotype" w:eastAsia="Times New Roman" w:hAnsi="Palatino Linotype"/>
          <w:sz w:val="22"/>
          <w:lang w:eastAsia="pt-BR"/>
        </w:rPr>
        <w:t xml:space="preserve">Há um papel adequado para os Tribunais, </w:t>
      </w:r>
      <w:r w:rsidR="00AA2740">
        <w:rPr>
          <w:rFonts w:ascii="Palatino Linotype" w:eastAsia="Times New Roman" w:hAnsi="Palatino Linotype"/>
          <w:sz w:val="22"/>
          <w:lang w:eastAsia="pt-BR"/>
        </w:rPr>
        <w:t xml:space="preserve">que é </w:t>
      </w:r>
      <w:r w:rsidR="002F4810">
        <w:rPr>
          <w:rFonts w:ascii="Palatino Linotype" w:eastAsia="Times New Roman" w:hAnsi="Palatino Linotype"/>
          <w:sz w:val="22"/>
          <w:lang w:eastAsia="pt-BR"/>
        </w:rPr>
        <w:t xml:space="preserve">assegurar que as agências investiram adequadamente recursos na reunião de informações, o que pode resolver a incerteza, possivelmente transformando-a em risco ou até mesmo certeza. (...) a existência de um problema de incerteza implica, por vezes, em que a própria questão sobre se a reunião de mais informações estará justificada à luz dos seus custos é, em si, incerta. Em casos como esses, as Cortes devem deixar espaço para que as agências adotem decisões racionalmente arbitrárias sobre quando interromper o processo de reunião de informações. (...) Por razão de primeira ordem, refiro-me à razão que justifica a escolha relativamente a outras escolhas dentro do conjunto possível à agência. Uma razão de segunda ordem é uma razão para fazer </w:t>
      </w:r>
      <w:r w:rsidR="002F4810">
        <w:rPr>
          <w:rFonts w:ascii="Palatino Linotype" w:eastAsia="Times New Roman" w:hAnsi="Palatino Linotype"/>
          <w:sz w:val="22"/>
          <w:lang w:eastAsia="pt-BR"/>
        </w:rPr>
        <w:lastRenderedPageBreak/>
        <w:t>uma escolha ou outra dentro do conjunto das que são possíveis, mesmo se nenhuma razão de primeira ordem puder ser apresentada. Em situações de incerteza, agências frequentemente terão</w:t>
      </w:r>
      <w:r w:rsidR="000B57F6">
        <w:rPr>
          <w:rFonts w:ascii="Palatino Linotype" w:eastAsia="Times New Roman" w:hAnsi="Palatino Linotype"/>
          <w:sz w:val="22"/>
          <w:lang w:eastAsia="pt-BR"/>
        </w:rPr>
        <w:t xml:space="preserve"> razões de segunda ordem perfeitamente válidas mesmo quando não é possível fornecer uma razão de primeira ordem. Em outras palavras, há um domínio de decisões das agências que são necessariamente e inevitavelmente arbitrárias, em um sentido de primeira ordem. As Cortes de controle devem se abster de ampliar suas demandas por razões e por racionalidade do processo decisório além do ponto a partir do qual a possibilidade de razão se esgota.</w:t>
      </w:r>
      <w:r w:rsidRPr="00AA2740">
        <w:rPr>
          <w:rFonts w:ascii="Palatino Linotype" w:eastAsia="Times New Roman" w:hAnsi="Palatino Linotype"/>
          <w:sz w:val="22"/>
          <w:lang w:eastAsia="pt-BR"/>
        </w:rPr>
        <w:t>”</w:t>
      </w:r>
    </w:p>
    <w:p w:rsidR="009A4948" w:rsidRPr="00C07AD7" w:rsidRDefault="003D47EA" w:rsidP="003D47EA">
      <w:pPr>
        <w:spacing w:before="100" w:beforeAutospacing="1" w:after="0" w:line="264" w:lineRule="auto"/>
        <w:ind w:left="2268" w:firstLine="0"/>
        <w:rPr>
          <w:rFonts w:ascii="Palatino Linotype" w:eastAsia="Times New Roman" w:hAnsi="Palatino Linotype"/>
          <w:sz w:val="22"/>
          <w:lang w:eastAsia="pt-BR"/>
        </w:rPr>
      </w:pPr>
      <w:r w:rsidRPr="003D47EA">
        <w:rPr>
          <w:rFonts w:ascii="Palatino Linotype" w:eastAsia="Times New Roman" w:hAnsi="Palatino Linotype"/>
          <w:sz w:val="22"/>
          <w:lang w:val="en-US" w:eastAsia="pt-BR"/>
        </w:rPr>
        <w:t>(</w:t>
      </w:r>
      <w:r w:rsidR="00C07AD7">
        <w:rPr>
          <w:rFonts w:ascii="Palatino Linotype" w:eastAsia="Times New Roman" w:hAnsi="Palatino Linotype"/>
          <w:sz w:val="22"/>
          <w:lang w:val="en-US" w:eastAsia="pt-BR"/>
        </w:rPr>
        <w:t xml:space="preserve">No original: </w:t>
      </w:r>
      <w:r w:rsidR="009A4948" w:rsidRPr="003D47EA">
        <w:rPr>
          <w:rFonts w:ascii="Palatino Linotype" w:eastAsia="Times New Roman" w:hAnsi="Palatino Linotype"/>
          <w:sz w:val="22"/>
          <w:lang w:val="en-US" w:eastAsia="pt-BR"/>
        </w:rPr>
        <w:t>“</w:t>
      </w:r>
      <w:r w:rsidR="009A4948" w:rsidRPr="003D47EA">
        <w:rPr>
          <w:rFonts w:ascii="Palatino Linotype" w:eastAsia="Times New Roman" w:hAnsi="Palatino Linotype"/>
          <w:i/>
          <w:sz w:val="22"/>
          <w:lang w:val="en-US" w:eastAsia="pt-BR"/>
        </w:rPr>
        <w:t>There is a proper role for courts in ensuring that agencies have adequately invested resources in information-gathering, which may resolve uncertainty, perhaps by transforming it into risk or even certainty.</w:t>
      </w:r>
      <w:r w:rsidR="00AD278B" w:rsidRPr="003D47EA">
        <w:rPr>
          <w:rFonts w:ascii="Palatino Linotype" w:eastAsia="Times New Roman" w:hAnsi="Palatino Linotype"/>
          <w:i/>
          <w:sz w:val="22"/>
          <w:lang w:val="en-US" w:eastAsia="pt-BR"/>
        </w:rPr>
        <w:t xml:space="preserve"> </w:t>
      </w:r>
      <w:r w:rsidR="009A4948" w:rsidRPr="003D47EA">
        <w:rPr>
          <w:rFonts w:ascii="Palatino Linotype" w:eastAsia="Times New Roman" w:hAnsi="Palatino Linotype"/>
          <w:sz w:val="22"/>
          <w:lang w:val="en-US" w:eastAsia="pt-BR"/>
        </w:rPr>
        <w:t>(…)</w:t>
      </w:r>
      <w:r w:rsidR="009A4948" w:rsidRPr="003D47EA">
        <w:rPr>
          <w:rFonts w:ascii="Palatino Linotype" w:eastAsia="Times New Roman" w:hAnsi="Palatino Linotype"/>
          <w:i/>
          <w:sz w:val="22"/>
          <w:lang w:val="en-US" w:eastAsia="pt-BR"/>
        </w:rPr>
        <w:t xml:space="preserve"> </w:t>
      </w:r>
      <w:r w:rsidR="00AD278B" w:rsidRPr="003D47EA">
        <w:rPr>
          <w:rFonts w:ascii="Palatino Linotype" w:eastAsia="Times New Roman" w:hAnsi="Palatino Linotype"/>
          <w:i/>
          <w:sz w:val="22"/>
          <w:lang w:val="en-US" w:eastAsia="pt-BR"/>
        </w:rPr>
        <w:t xml:space="preserve">the existence of an uncertain problem implies that, sometimes, the very question whether collecting further information will be cost-justified is itself uncertain. In cases like that, courts must leave room for agencies to make rationally arbitrary decisions about when to cut off the process of information-gathering. </w:t>
      </w:r>
      <w:r w:rsidR="00AD278B" w:rsidRPr="003D47EA">
        <w:rPr>
          <w:rFonts w:ascii="Palatino Linotype" w:eastAsia="Times New Roman" w:hAnsi="Palatino Linotype"/>
          <w:sz w:val="22"/>
          <w:lang w:val="en-US" w:eastAsia="pt-BR"/>
        </w:rPr>
        <w:t>(…)</w:t>
      </w:r>
      <w:r w:rsidR="00AD278B" w:rsidRPr="003D47EA">
        <w:rPr>
          <w:rFonts w:ascii="Palatino Linotype" w:eastAsia="Times New Roman" w:hAnsi="Palatino Linotype"/>
          <w:i/>
          <w:sz w:val="22"/>
          <w:lang w:val="en-US" w:eastAsia="pt-BR"/>
        </w:rPr>
        <w:t xml:space="preserve"> By a first-order reason, I mean a reason that justifies the choice relative to other choices within the agency’s feasible set. A second-order reason is a reason to make some choice or other within the feasible set, even if no first-order reason can be given. In situations of uncertainty, agencies will often have perfectly valid second-order reasons even when no first-order reason is possible. In other words, there is a domain</w:t>
      </w:r>
      <w:r w:rsidRPr="003D47EA">
        <w:rPr>
          <w:rFonts w:ascii="Palatino Linotype" w:eastAsia="Times New Roman" w:hAnsi="Palatino Linotype"/>
          <w:i/>
          <w:sz w:val="22"/>
          <w:lang w:val="en-US" w:eastAsia="pt-BR"/>
        </w:rPr>
        <w:t xml:space="preserve"> of agency decisions that are necessarily and unavoidably arbitrary, in a first-order sense. Reviewing courts must not press their demands for reasons and reasoned decision-making beyond the point at which the possibility of reason is exhausted</w:t>
      </w:r>
      <w:r w:rsidRPr="003D47EA">
        <w:rPr>
          <w:rFonts w:ascii="Palatino Linotype" w:eastAsia="Times New Roman" w:hAnsi="Palatino Linotype"/>
          <w:sz w:val="22"/>
          <w:lang w:val="en-US" w:eastAsia="pt-BR"/>
        </w:rPr>
        <w:t>.</w:t>
      </w:r>
      <w:r w:rsidR="009A4948" w:rsidRPr="003D47EA">
        <w:rPr>
          <w:rFonts w:ascii="Palatino Linotype" w:eastAsia="Times New Roman" w:hAnsi="Palatino Linotype"/>
          <w:sz w:val="22"/>
          <w:lang w:val="en-US" w:eastAsia="pt-BR"/>
        </w:rPr>
        <w:t>”</w:t>
      </w:r>
      <w:r w:rsidR="00C07AD7">
        <w:rPr>
          <w:rFonts w:ascii="Palatino Linotype" w:eastAsia="Times New Roman" w:hAnsi="Palatino Linotype"/>
          <w:sz w:val="22"/>
          <w:lang w:val="en-US" w:eastAsia="pt-BR"/>
        </w:rPr>
        <w:t xml:space="preserve"> </w:t>
      </w:r>
      <w:r w:rsidR="00C07AD7" w:rsidRPr="00C07AD7">
        <w:rPr>
          <w:rFonts w:ascii="Palatino Linotype" w:eastAsia="Times New Roman" w:hAnsi="Palatino Linotype"/>
          <w:sz w:val="22"/>
          <w:lang w:eastAsia="pt-BR"/>
        </w:rPr>
        <w:t xml:space="preserve">VERMEULE, Adrian. </w:t>
      </w:r>
      <w:r w:rsidR="00C07AD7" w:rsidRPr="00C07AD7">
        <w:rPr>
          <w:rFonts w:ascii="Palatino Linotype" w:eastAsia="Times New Roman" w:hAnsi="Palatino Linotype"/>
          <w:i/>
          <w:sz w:val="22"/>
          <w:lang w:eastAsia="pt-BR"/>
        </w:rPr>
        <w:t>Law’s Abnegation</w:t>
      </w:r>
      <w:r w:rsidR="00C07AD7" w:rsidRPr="00C07AD7">
        <w:rPr>
          <w:rFonts w:ascii="Palatino Linotype" w:eastAsia="Times New Roman" w:hAnsi="Palatino Linotype"/>
          <w:sz w:val="22"/>
          <w:lang w:eastAsia="pt-BR"/>
        </w:rPr>
        <w:t>.</w:t>
      </w:r>
      <w:r w:rsidR="00C07AD7">
        <w:rPr>
          <w:rFonts w:ascii="Palatino Linotype" w:eastAsia="Times New Roman" w:hAnsi="Palatino Linotype"/>
          <w:sz w:val="22"/>
          <w:lang w:eastAsia="pt-BR"/>
        </w:rPr>
        <w:t xml:space="preserve"> Cambridge: Harvard University Press, 2016.</w:t>
      </w:r>
      <w:r w:rsidR="009A4948" w:rsidRPr="00C07AD7">
        <w:rPr>
          <w:rFonts w:ascii="Palatino Linotype" w:eastAsia="Times New Roman" w:hAnsi="Palatino Linotype"/>
          <w:sz w:val="22"/>
          <w:lang w:eastAsia="pt-BR"/>
        </w:rPr>
        <w:t xml:space="preserve"> p. 130</w:t>
      </w:r>
      <w:r w:rsidRPr="00C07AD7">
        <w:rPr>
          <w:rFonts w:ascii="Palatino Linotype" w:eastAsia="Times New Roman" w:hAnsi="Palatino Linotype"/>
          <w:sz w:val="22"/>
          <w:lang w:eastAsia="pt-BR"/>
        </w:rPr>
        <w:t>, 134-135)</w:t>
      </w:r>
    </w:p>
    <w:p w:rsidR="008D6689" w:rsidRDefault="00C07AD7"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Conforme restou amplamente demonstrado no presente voto, a providência gravíssima de proibição das atividades de plataformas de economia compartilhada no setor de transporte urbano não se sustenta por razão legítima alguma. A </w:t>
      </w:r>
      <w:r w:rsidR="00502812">
        <w:rPr>
          <w:rFonts w:ascii="Palatino Linotype" w:eastAsia="Times New Roman" w:hAnsi="Palatino Linotype"/>
          <w:sz w:val="26"/>
          <w:szCs w:val="26"/>
          <w:lang w:eastAsia="pt-BR"/>
        </w:rPr>
        <w:t xml:space="preserve">Constituição brasileira não admite, sob pena de franca violação a direitos fundamentais, medidas </w:t>
      </w:r>
      <w:r w:rsidR="00B406F9">
        <w:rPr>
          <w:rFonts w:ascii="Palatino Linotype" w:eastAsia="Times New Roman" w:hAnsi="Palatino Linotype"/>
          <w:sz w:val="26"/>
          <w:szCs w:val="26"/>
          <w:lang w:eastAsia="pt-BR"/>
        </w:rPr>
        <w:t xml:space="preserve">restritivas de liberdade </w:t>
      </w:r>
      <w:r w:rsidR="00502812">
        <w:rPr>
          <w:rFonts w:ascii="Palatino Linotype" w:eastAsia="Times New Roman" w:hAnsi="Palatino Linotype"/>
          <w:sz w:val="26"/>
          <w:szCs w:val="26"/>
          <w:lang w:eastAsia="pt-BR"/>
        </w:rPr>
        <w:t xml:space="preserve">desprovidas de bases racionais, seja de primeira ou de segunda ordem, </w:t>
      </w:r>
      <w:r w:rsidR="00E232BB">
        <w:rPr>
          <w:rFonts w:ascii="Palatino Linotype" w:eastAsia="Times New Roman" w:hAnsi="Palatino Linotype"/>
          <w:sz w:val="26"/>
          <w:szCs w:val="26"/>
          <w:lang w:eastAsia="pt-BR"/>
        </w:rPr>
        <w:t xml:space="preserve">a exemplo do </w:t>
      </w:r>
      <w:r w:rsidR="00502812">
        <w:rPr>
          <w:rFonts w:ascii="Palatino Linotype" w:eastAsia="Times New Roman" w:hAnsi="Palatino Linotype"/>
          <w:sz w:val="26"/>
          <w:szCs w:val="26"/>
          <w:lang w:eastAsia="pt-BR"/>
        </w:rPr>
        <w:t>ocorrido no caso concreto.</w:t>
      </w:r>
    </w:p>
    <w:p w:rsidR="00350170" w:rsidRDefault="00350170"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lastRenderedPageBreak/>
        <w:t xml:space="preserve">Considerando-se como finalidade da norma impugnada a proteção de agentes tradicionais do mercado de transporte de passageiros em face de novos concorrentes, há ofensa à garantia de um ambiente de mercado competitivo, expressa pela Carta Magna em seus artigos 1º, IV; 5º, </w:t>
      </w:r>
      <w:r>
        <w:rPr>
          <w:rFonts w:ascii="Palatino Linotype" w:eastAsia="Times New Roman" w:hAnsi="Palatino Linotype"/>
          <w:i/>
          <w:sz w:val="26"/>
          <w:szCs w:val="26"/>
          <w:lang w:eastAsia="pt-BR"/>
        </w:rPr>
        <w:t>caput</w:t>
      </w:r>
      <w:r>
        <w:rPr>
          <w:rFonts w:ascii="Palatino Linotype" w:eastAsia="Times New Roman" w:hAnsi="Palatino Linotype"/>
          <w:sz w:val="26"/>
          <w:szCs w:val="26"/>
          <w:lang w:eastAsia="pt-BR"/>
        </w:rPr>
        <w:t xml:space="preserve"> e XIII; e 170, </w:t>
      </w:r>
      <w:r>
        <w:rPr>
          <w:rFonts w:ascii="Palatino Linotype" w:eastAsia="Times New Roman" w:hAnsi="Palatino Linotype"/>
          <w:i/>
          <w:sz w:val="26"/>
          <w:szCs w:val="26"/>
          <w:lang w:eastAsia="pt-BR"/>
        </w:rPr>
        <w:t>caput</w:t>
      </w:r>
      <w:r>
        <w:rPr>
          <w:rFonts w:ascii="Palatino Linotype" w:eastAsia="Times New Roman" w:hAnsi="Palatino Linotype"/>
          <w:sz w:val="26"/>
          <w:szCs w:val="26"/>
          <w:lang w:eastAsia="pt-BR"/>
        </w:rPr>
        <w:t xml:space="preserve"> e IV; e 173, § 4º. </w:t>
      </w:r>
      <w:r w:rsidR="00CB7A69">
        <w:rPr>
          <w:rFonts w:ascii="Palatino Linotype" w:eastAsia="Times New Roman" w:hAnsi="Palatino Linotype"/>
          <w:sz w:val="26"/>
          <w:szCs w:val="26"/>
          <w:lang w:eastAsia="pt-BR"/>
        </w:rPr>
        <w:t xml:space="preserve">Nos termos da jurisprudência desta Corte, cuida-se de </w:t>
      </w:r>
      <w:r w:rsidR="006309D0">
        <w:rPr>
          <w:rFonts w:ascii="Palatino Linotype" w:eastAsia="Times New Roman" w:hAnsi="Palatino Linotype"/>
          <w:sz w:val="26"/>
          <w:szCs w:val="26"/>
          <w:lang w:eastAsia="pt-BR"/>
        </w:rPr>
        <w:t>critério imprestá</w:t>
      </w:r>
      <w:r w:rsidR="004F1D96">
        <w:rPr>
          <w:rFonts w:ascii="Palatino Linotype" w:eastAsia="Times New Roman" w:hAnsi="Palatino Linotype"/>
          <w:sz w:val="26"/>
          <w:szCs w:val="26"/>
          <w:lang w:eastAsia="pt-BR"/>
        </w:rPr>
        <w:t xml:space="preserve">vel para justificar </w:t>
      </w:r>
      <w:r w:rsidR="006309D0">
        <w:rPr>
          <w:rFonts w:ascii="Palatino Linotype" w:eastAsia="Times New Roman" w:hAnsi="Palatino Linotype"/>
          <w:sz w:val="26"/>
          <w:szCs w:val="26"/>
          <w:lang w:eastAsia="pt-BR"/>
        </w:rPr>
        <w:t>restrição ao livre exercício das profissões</w:t>
      </w:r>
      <w:r w:rsidR="004F1D96">
        <w:rPr>
          <w:rFonts w:ascii="Palatino Linotype" w:eastAsia="Times New Roman" w:hAnsi="Palatino Linotype"/>
          <w:sz w:val="26"/>
          <w:szCs w:val="26"/>
          <w:lang w:eastAsia="pt-BR"/>
        </w:rPr>
        <w:t>, o que somente pode ocorrer de forma excepcional</w:t>
      </w:r>
      <w:r w:rsidR="006309D0">
        <w:rPr>
          <w:rFonts w:ascii="Palatino Linotype" w:eastAsia="Times New Roman" w:hAnsi="Palatino Linotype"/>
          <w:sz w:val="26"/>
          <w:szCs w:val="26"/>
          <w:lang w:eastAsia="pt-BR"/>
        </w:rPr>
        <w:t xml:space="preserve"> (</w:t>
      </w:r>
      <w:r w:rsidR="006309D0" w:rsidRPr="00BE6F3C">
        <w:rPr>
          <w:rFonts w:ascii="Palatino Linotype" w:hAnsi="Palatino Linotype"/>
          <w:sz w:val="26"/>
          <w:szCs w:val="26"/>
        </w:rPr>
        <w:t xml:space="preserve">RE </w:t>
      </w:r>
      <w:r w:rsidR="006309D0">
        <w:rPr>
          <w:rFonts w:ascii="Palatino Linotype" w:hAnsi="Palatino Linotype"/>
          <w:sz w:val="26"/>
          <w:szCs w:val="26"/>
        </w:rPr>
        <w:t xml:space="preserve">nº </w:t>
      </w:r>
      <w:r w:rsidR="006309D0" w:rsidRPr="00BE6F3C">
        <w:rPr>
          <w:rFonts w:ascii="Palatino Linotype" w:hAnsi="Palatino Linotype"/>
          <w:sz w:val="26"/>
          <w:szCs w:val="26"/>
        </w:rPr>
        <w:t>414426</w:t>
      </w:r>
      <w:r w:rsidR="006309D0">
        <w:rPr>
          <w:rFonts w:ascii="Palatino Linotype" w:hAnsi="Palatino Linotype"/>
          <w:sz w:val="26"/>
          <w:szCs w:val="26"/>
        </w:rPr>
        <w:t>,</w:t>
      </w:r>
      <w:r w:rsidR="006309D0" w:rsidRPr="00BE6F3C">
        <w:rPr>
          <w:rFonts w:ascii="Palatino Linotype" w:hAnsi="Palatino Linotype"/>
          <w:sz w:val="26"/>
          <w:szCs w:val="26"/>
        </w:rPr>
        <w:t xml:space="preserve"> </w:t>
      </w:r>
      <w:r w:rsidR="006309D0">
        <w:rPr>
          <w:rFonts w:ascii="Palatino Linotype" w:hAnsi="Palatino Linotype"/>
          <w:sz w:val="26"/>
          <w:szCs w:val="26"/>
        </w:rPr>
        <w:t xml:space="preserve">Relator(a): </w:t>
      </w:r>
      <w:r w:rsidR="006309D0" w:rsidRPr="00BE6F3C">
        <w:rPr>
          <w:rFonts w:ascii="Palatino Linotype" w:hAnsi="Palatino Linotype"/>
          <w:sz w:val="26"/>
          <w:szCs w:val="26"/>
        </w:rPr>
        <w:t>Min. ELLEN GRACIE, Tribunal Pleno, julgado em 01/08/2011</w:t>
      </w:r>
      <w:r w:rsidR="00A677F0">
        <w:rPr>
          <w:rFonts w:ascii="Palatino Linotype" w:hAnsi="Palatino Linotype"/>
          <w:sz w:val="26"/>
          <w:szCs w:val="26"/>
        </w:rPr>
        <w:t xml:space="preserve">; </w:t>
      </w:r>
      <w:r w:rsidR="00A677F0" w:rsidRPr="00A677F0">
        <w:rPr>
          <w:rFonts w:ascii="Palatino Linotype" w:hAnsi="Palatino Linotype"/>
          <w:sz w:val="26"/>
          <w:szCs w:val="26"/>
        </w:rPr>
        <w:t>RE 511961, Relator(a): Min. GILMAR MENDES, Tribunal Pleno, julgado em 17/06/2009</w:t>
      </w:r>
      <w:r w:rsidR="006309D0">
        <w:rPr>
          <w:rFonts w:ascii="Palatino Linotype" w:hAnsi="Palatino Linotype"/>
          <w:sz w:val="26"/>
          <w:szCs w:val="26"/>
        </w:rPr>
        <w:t>)</w:t>
      </w:r>
      <w:r w:rsidR="00CB7A69">
        <w:rPr>
          <w:rFonts w:ascii="Palatino Linotype" w:eastAsia="Times New Roman" w:hAnsi="Palatino Linotype"/>
          <w:sz w:val="26"/>
          <w:szCs w:val="26"/>
          <w:lang w:eastAsia="pt-BR"/>
        </w:rPr>
        <w:t xml:space="preserve">. </w:t>
      </w:r>
      <w:r>
        <w:rPr>
          <w:rFonts w:ascii="Palatino Linotype" w:eastAsia="Times New Roman" w:hAnsi="Palatino Linotype"/>
          <w:sz w:val="26"/>
          <w:szCs w:val="26"/>
          <w:lang w:eastAsia="pt-BR"/>
        </w:rPr>
        <w:t>Consoante amplamente demonstrado, à vista de evidências de captura regulatória deve intervir o Judiciário para impedir a utilização do poder político como mecanismo de concentração de riquezas à custa do desenvolvimento da sociedade</w:t>
      </w:r>
      <w:r w:rsidR="00CC7F23">
        <w:rPr>
          <w:rFonts w:ascii="Palatino Linotype" w:eastAsia="Times New Roman" w:hAnsi="Palatino Linotype"/>
          <w:sz w:val="26"/>
          <w:szCs w:val="26"/>
          <w:lang w:eastAsia="pt-BR"/>
        </w:rPr>
        <w:t xml:space="preserve"> (cf. ADIs nº 5.062 e 5.065, </w:t>
      </w:r>
      <w:r w:rsidR="00CC7F23">
        <w:rPr>
          <w:rFonts w:ascii="Palatino Linotype" w:hAnsi="Palatino Linotype"/>
          <w:sz w:val="26"/>
          <w:szCs w:val="26"/>
        </w:rPr>
        <w:t xml:space="preserve">Relator(a): </w:t>
      </w:r>
      <w:r w:rsidR="00CC7F23" w:rsidRPr="00BE6F3C">
        <w:rPr>
          <w:rFonts w:ascii="Palatino Linotype" w:hAnsi="Palatino Linotype"/>
          <w:sz w:val="26"/>
          <w:szCs w:val="26"/>
        </w:rPr>
        <w:t xml:space="preserve">Min. </w:t>
      </w:r>
      <w:r w:rsidR="00CC7F23">
        <w:rPr>
          <w:rFonts w:ascii="Palatino Linotype" w:hAnsi="Palatino Linotype"/>
          <w:sz w:val="26"/>
          <w:szCs w:val="26"/>
        </w:rPr>
        <w:t>LUIZ FUX</w:t>
      </w:r>
      <w:r w:rsidR="00CC7F23" w:rsidRPr="00BE6F3C">
        <w:rPr>
          <w:rFonts w:ascii="Palatino Linotype" w:hAnsi="Palatino Linotype"/>
          <w:sz w:val="26"/>
          <w:szCs w:val="26"/>
        </w:rPr>
        <w:t>, Tribunal Pleno, julgado em</w:t>
      </w:r>
      <w:r w:rsidR="00CC7F23">
        <w:rPr>
          <w:rFonts w:ascii="Palatino Linotype" w:hAnsi="Palatino Linotype"/>
          <w:sz w:val="26"/>
          <w:szCs w:val="26"/>
        </w:rPr>
        <w:t xml:space="preserve"> 27/10/2016</w:t>
      </w:r>
      <w:r w:rsidR="00CC7F23">
        <w:rPr>
          <w:rFonts w:ascii="Palatino Linotype" w:eastAsia="Times New Roman" w:hAnsi="Palatino Linotype"/>
          <w:sz w:val="26"/>
          <w:szCs w:val="26"/>
          <w:lang w:eastAsia="pt-BR"/>
        </w:rPr>
        <w:t>)</w:t>
      </w:r>
      <w:r>
        <w:rPr>
          <w:rFonts w:ascii="Palatino Linotype" w:eastAsia="Times New Roman" w:hAnsi="Palatino Linotype"/>
          <w:sz w:val="26"/>
          <w:szCs w:val="26"/>
          <w:lang w:eastAsia="pt-BR"/>
        </w:rPr>
        <w:t>.</w:t>
      </w:r>
      <w:r w:rsidR="000D6C70">
        <w:rPr>
          <w:rFonts w:ascii="Palatino Linotype" w:eastAsia="Times New Roman" w:hAnsi="Palatino Linotype"/>
          <w:sz w:val="26"/>
          <w:szCs w:val="26"/>
          <w:lang w:eastAsia="pt-BR"/>
        </w:rPr>
        <w:t xml:space="preserve"> A </w:t>
      </w:r>
      <w:r w:rsidR="00F77E2E">
        <w:rPr>
          <w:rFonts w:ascii="Palatino Linotype" w:eastAsia="Times New Roman" w:hAnsi="Palatino Linotype"/>
          <w:sz w:val="26"/>
          <w:szCs w:val="26"/>
          <w:lang w:eastAsia="pt-BR"/>
        </w:rPr>
        <w:t xml:space="preserve">extensa </w:t>
      </w:r>
      <w:r w:rsidR="000D6C70">
        <w:rPr>
          <w:rFonts w:ascii="Palatino Linotype" w:eastAsia="Times New Roman" w:hAnsi="Palatino Linotype"/>
          <w:sz w:val="26"/>
          <w:szCs w:val="26"/>
          <w:lang w:eastAsia="pt-BR"/>
        </w:rPr>
        <w:t xml:space="preserve">literatura especializada referida ao longo do voto aponta a inexistência de benefícios sociais pela limitação de entrada em mercados econômicos, </w:t>
      </w:r>
      <w:r w:rsidR="00F77E2E">
        <w:rPr>
          <w:rFonts w:ascii="Palatino Linotype" w:eastAsia="Times New Roman" w:hAnsi="Palatino Linotype"/>
          <w:sz w:val="26"/>
          <w:szCs w:val="26"/>
          <w:lang w:eastAsia="pt-BR"/>
        </w:rPr>
        <w:t>bem como conclui</w:t>
      </w:r>
      <w:r w:rsidR="000D6C70">
        <w:rPr>
          <w:rFonts w:ascii="Palatino Linotype" w:eastAsia="Times New Roman" w:hAnsi="Palatino Linotype"/>
          <w:sz w:val="26"/>
          <w:szCs w:val="26"/>
          <w:lang w:eastAsia="pt-BR"/>
        </w:rPr>
        <w:t>, tanto em teoria quanto por análise empírica, que regulações da espécie favorecem a corrupção</w:t>
      </w:r>
      <w:r w:rsidR="005A0485">
        <w:rPr>
          <w:rFonts w:ascii="Palatino Linotype" w:eastAsia="Times New Roman" w:hAnsi="Palatino Linotype"/>
          <w:sz w:val="26"/>
          <w:szCs w:val="26"/>
          <w:lang w:eastAsia="pt-BR"/>
        </w:rPr>
        <w:t>, evidenciando o nocivo cenário de captura</w:t>
      </w:r>
      <w:r w:rsidR="000D6C70">
        <w:rPr>
          <w:rFonts w:ascii="Palatino Linotype" w:eastAsia="Times New Roman" w:hAnsi="Palatino Linotype"/>
          <w:sz w:val="26"/>
          <w:szCs w:val="26"/>
          <w:lang w:eastAsia="pt-BR"/>
        </w:rPr>
        <w:t>.</w:t>
      </w:r>
      <w:r w:rsidR="00CB7A69">
        <w:rPr>
          <w:rFonts w:ascii="Palatino Linotype" w:eastAsia="Times New Roman" w:hAnsi="Palatino Linotype"/>
          <w:sz w:val="26"/>
          <w:szCs w:val="26"/>
          <w:lang w:eastAsia="pt-BR"/>
        </w:rPr>
        <w:t xml:space="preserve"> </w:t>
      </w:r>
      <w:r w:rsidR="00173335">
        <w:rPr>
          <w:rFonts w:ascii="Palatino Linotype" w:eastAsia="Times New Roman" w:hAnsi="Palatino Linotype"/>
          <w:sz w:val="26"/>
          <w:szCs w:val="26"/>
          <w:lang w:eastAsia="pt-BR"/>
        </w:rPr>
        <w:t xml:space="preserve">Sem prejuízo, ainda que vencida essa etapa de escrutínio quanto à legitimidade da intervenção regulatória, </w:t>
      </w:r>
      <w:r w:rsidR="00341E17">
        <w:rPr>
          <w:rFonts w:ascii="Palatino Linotype" w:eastAsia="Times New Roman" w:hAnsi="Palatino Linotype"/>
          <w:sz w:val="26"/>
          <w:szCs w:val="26"/>
          <w:lang w:eastAsia="pt-BR"/>
        </w:rPr>
        <w:t xml:space="preserve">não se justificaria a medida sob o prisma da </w:t>
      </w:r>
      <w:r w:rsidR="00341E17">
        <w:rPr>
          <w:rFonts w:ascii="Palatino Linotype" w:eastAsia="Times New Roman" w:hAnsi="Palatino Linotype"/>
          <w:i/>
          <w:sz w:val="26"/>
          <w:szCs w:val="26"/>
          <w:lang w:eastAsia="pt-BR"/>
        </w:rPr>
        <w:t>adequação</w:t>
      </w:r>
      <w:r w:rsidR="00341E17">
        <w:rPr>
          <w:rFonts w:ascii="Palatino Linotype" w:eastAsia="Times New Roman" w:hAnsi="Palatino Linotype"/>
          <w:sz w:val="26"/>
          <w:szCs w:val="26"/>
          <w:lang w:eastAsia="pt-BR"/>
        </w:rPr>
        <w:t>,</w:t>
      </w:r>
      <w:r w:rsidR="0037297F">
        <w:rPr>
          <w:rFonts w:ascii="Palatino Linotype" w:eastAsia="Times New Roman" w:hAnsi="Palatino Linotype"/>
          <w:sz w:val="26"/>
          <w:szCs w:val="26"/>
          <w:lang w:eastAsia="pt-BR"/>
        </w:rPr>
        <w:t xml:space="preserve"> ante a existência de dados apontando que os novos entrantes não provocaram impacto significativo na renda dos agentes tradicionais do setor econômico em apreço.</w:t>
      </w:r>
    </w:p>
    <w:p w:rsidR="00165299" w:rsidRDefault="0012656C"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A possível justificação da regra proibitiva sob o ângulo da proteção ao consumidor também não se sustenta</w:t>
      </w:r>
      <w:r w:rsidR="00E101D5">
        <w:rPr>
          <w:rFonts w:ascii="Palatino Linotype" w:eastAsia="Times New Roman" w:hAnsi="Palatino Linotype"/>
          <w:sz w:val="26"/>
          <w:szCs w:val="26"/>
          <w:lang w:eastAsia="pt-BR"/>
        </w:rPr>
        <w:t xml:space="preserve">. Tendo em vista que as novas tecnologias, independente de intervenção regulatória, lograram solucionar problemas relativos a assimetrias de informação e custos de transação no setor de transportes sem a indesejada restrição de mercado promovida pela legislação tradicional, é imperioso concluir que a vedação da prestação do serviço por plataformas digitais não é medida </w:t>
      </w:r>
      <w:r w:rsidR="00E101D5">
        <w:rPr>
          <w:rFonts w:ascii="Palatino Linotype" w:eastAsia="Times New Roman" w:hAnsi="Palatino Linotype"/>
          <w:i/>
          <w:sz w:val="26"/>
          <w:szCs w:val="26"/>
          <w:lang w:eastAsia="pt-BR"/>
        </w:rPr>
        <w:t>necessária</w:t>
      </w:r>
      <w:r w:rsidR="00D47570">
        <w:rPr>
          <w:rFonts w:ascii="Palatino Linotype" w:eastAsia="Times New Roman" w:hAnsi="Palatino Linotype"/>
          <w:sz w:val="26"/>
          <w:szCs w:val="26"/>
          <w:lang w:eastAsia="pt-BR"/>
        </w:rPr>
        <w:t xml:space="preserve"> e nem </w:t>
      </w:r>
      <w:r w:rsidR="00D47570">
        <w:rPr>
          <w:rFonts w:ascii="Palatino Linotype" w:eastAsia="Times New Roman" w:hAnsi="Palatino Linotype"/>
          <w:i/>
          <w:sz w:val="26"/>
          <w:szCs w:val="26"/>
          <w:lang w:eastAsia="pt-BR"/>
        </w:rPr>
        <w:t>adequada</w:t>
      </w:r>
      <w:r w:rsidR="00E101D5">
        <w:rPr>
          <w:rFonts w:ascii="Palatino Linotype" w:eastAsia="Times New Roman" w:hAnsi="Palatino Linotype"/>
          <w:sz w:val="26"/>
          <w:szCs w:val="26"/>
          <w:lang w:eastAsia="pt-BR"/>
        </w:rPr>
        <w:t>. A proibição impõe enormes custos aos usuários</w:t>
      </w:r>
      <w:r w:rsidR="00E542BD">
        <w:rPr>
          <w:rFonts w:ascii="Palatino Linotype" w:eastAsia="Times New Roman" w:hAnsi="Palatino Linotype"/>
          <w:sz w:val="26"/>
          <w:szCs w:val="26"/>
          <w:lang w:eastAsia="pt-BR"/>
        </w:rPr>
        <w:t xml:space="preserve"> do sistema de transportes</w:t>
      </w:r>
      <w:r w:rsidR="00E101D5">
        <w:rPr>
          <w:rFonts w:ascii="Palatino Linotype" w:eastAsia="Times New Roman" w:hAnsi="Palatino Linotype"/>
          <w:sz w:val="26"/>
          <w:szCs w:val="26"/>
          <w:lang w:eastAsia="pt-BR"/>
        </w:rPr>
        <w:t>, considerado o</w:t>
      </w:r>
      <w:r w:rsidR="00743BBC">
        <w:rPr>
          <w:rFonts w:ascii="Palatino Linotype" w:eastAsia="Times New Roman" w:hAnsi="Palatino Linotype"/>
          <w:sz w:val="26"/>
          <w:szCs w:val="26"/>
          <w:lang w:eastAsia="pt-BR"/>
        </w:rPr>
        <w:t xml:space="preserve"> já mencionado</w:t>
      </w:r>
      <w:r w:rsidR="00E101D5">
        <w:rPr>
          <w:rFonts w:ascii="Palatino Linotype" w:eastAsia="Times New Roman" w:hAnsi="Palatino Linotype"/>
          <w:sz w:val="26"/>
          <w:szCs w:val="26"/>
          <w:lang w:eastAsia="pt-BR"/>
        </w:rPr>
        <w:t xml:space="preserve"> “excedente do consumidor”</w:t>
      </w:r>
      <w:r w:rsidR="00E542BD">
        <w:rPr>
          <w:rFonts w:ascii="Palatino Linotype" w:eastAsia="Times New Roman" w:hAnsi="Palatino Linotype"/>
          <w:sz w:val="26"/>
          <w:szCs w:val="26"/>
          <w:lang w:eastAsia="pt-BR"/>
        </w:rPr>
        <w:t xml:space="preserve"> proporcionado pelos modernos serviços de economia compartilhada, sem </w:t>
      </w:r>
      <w:r w:rsidR="00E86696">
        <w:rPr>
          <w:rFonts w:ascii="Palatino Linotype" w:eastAsia="Times New Roman" w:hAnsi="Palatino Linotype"/>
          <w:sz w:val="26"/>
          <w:szCs w:val="26"/>
          <w:lang w:eastAsia="pt-BR"/>
        </w:rPr>
        <w:t xml:space="preserve">resultar em </w:t>
      </w:r>
      <w:r w:rsidR="00E542BD">
        <w:rPr>
          <w:rFonts w:ascii="Palatino Linotype" w:eastAsia="Times New Roman" w:hAnsi="Palatino Linotype"/>
          <w:sz w:val="26"/>
          <w:szCs w:val="26"/>
          <w:lang w:eastAsia="pt-BR"/>
        </w:rPr>
        <w:t xml:space="preserve">qualquer benefício social, de modo que </w:t>
      </w:r>
      <w:r w:rsidR="00C35EA5">
        <w:rPr>
          <w:rFonts w:ascii="Palatino Linotype" w:eastAsia="Times New Roman" w:hAnsi="Palatino Linotype"/>
          <w:sz w:val="26"/>
          <w:szCs w:val="26"/>
          <w:lang w:eastAsia="pt-BR"/>
        </w:rPr>
        <w:t xml:space="preserve">resultam ofendidos os </w:t>
      </w:r>
      <w:r w:rsidR="00C35EA5" w:rsidRPr="00C35EA5">
        <w:rPr>
          <w:rFonts w:ascii="Palatino Linotype" w:eastAsia="Times New Roman" w:hAnsi="Palatino Linotype"/>
          <w:sz w:val="26"/>
          <w:szCs w:val="26"/>
          <w:lang w:eastAsia="pt-BR"/>
        </w:rPr>
        <w:t xml:space="preserve">artigos 5º, </w:t>
      </w:r>
      <w:r w:rsidR="00C35EA5" w:rsidRPr="00C35EA5">
        <w:rPr>
          <w:rFonts w:ascii="Palatino Linotype" w:eastAsia="Times New Roman" w:hAnsi="Palatino Linotype"/>
          <w:sz w:val="26"/>
          <w:szCs w:val="26"/>
          <w:lang w:eastAsia="pt-BR"/>
        </w:rPr>
        <w:lastRenderedPageBreak/>
        <w:t>XXXII, e 170, V, da Constituição</w:t>
      </w:r>
      <w:r w:rsidR="00C35EA5">
        <w:rPr>
          <w:rFonts w:ascii="Palatino Linotype" w:eastAsia="Times New Roman" w:hAnsi="Palatino Linotype"/>
          <w:sz w:val="26"/>
          <w:szCs w:val="26"/>
          <w:lang w:eastAsia="pt-BR"/>
        </w:rPr>
        <w:t>, os quais impõem a legisladores e administradores o dever de proteção dos interesses dos consumidores.</w:t>
      </w:r>
    </w:p>
    <w:p w:rsidR="00924595" w:rsidRDefault="00924595"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Finalmente, </w:t>
      </w:r>
      <w:r w:rsidR="000D64E9">
        <w:rPr>
          <w:rFonts w:ascii="Palatino Linotype" w:eastAsia="Times New Roman" w:hAnsi="Palatino Linotype"/>
          <w:sz w:val="26"/>
          <w:szCs w:val="26"/>
          <w:lang w:eastAsia="pt-BR"/>
        </w:rPr>
        <w:t xml:space="preserve">preocupações de trânsito e urbanísticas não conferem racionalidade à norma objeto da presente Arguição. </w:t>
      </w:r>
      <w:r w:rsidR="00561722">
        <w:rPr>
          <w:rFonts w:ascii="Palatino Linotype" w:eastAsia="Times New Roman" w:hAnsi="Palatino Linotype"/>
          <w:sz w:val="26"/>
          <w:szCs w:val="26"/>
          <w:lang w:eastAsia="pt-BR"/>
        </w:rPr>
        <w:t xml:space="preserve">Mesmo perseguindo esse objetivo, a medida é desproporcional sob o prisma da </w:t>
      </w:r>
      <w:r w:rsidR="00561722">
        <w:rPr>
          <w:rFonts w:ascii="Palatino Linotype" w:eastAsia="Times New Roman" w:hAnsi="Palatino Linotype"/>
          <w:i/>
          <w:sz w:val="26"/>
          <w:szCs w:val="26"/>
          <w:lang w:eastAsia="pt-BR"/>
        </w:rPr>
        <w:t>adequação</w:t>
      </w:r>
      <w:r w:rsidR="00561722">
        <w:rPr>
          <w:rFonts w:ascii="Palatino Linotype" w:eastAsia="Times New Roman" w:hAnsi="Palatino Linotype"/>
          <w:sz w:val="26"/>
          <w:szCs w:val="26"/>
          <w:lang w:eastAsia="pt-BR"/>
        </w:rPr>
        <w:t xml:space="preserve">, mercê de penalizar serviços que contribuem para a melhoria do tráfego e redução de congestionamentos, oferecendo compartilhamento de corridas, permitindo a não utilização ou não aquisição de veículos próprios por particulares, reduzindo a incidência de acidentes por direção sob influência de álcool </w:t>
      </w:r>
      <w:r w:rsidR="00561722">
        <w:rPr>
          <w:rFonts w:ascii="Palatino Linotype" w:eastAsia="Times New Roman" w:hAnsi="Palatino Linotype"/>
          <w:i/>
          <w:sz w:val="26"/>
          <w:szCs w:val="26"/>
          <w:lang w:eastAsia="pt-BR"/>
        </w:rPr>
        <w:t>etc</w:t>
      </w:r>
      <w:r w:rsidR="00561722">
        <w:rPr>
          <w:rFonts w:ascii="Palatino Linotype" w:eastAsia="Times New Roman" w:hAnsi="Palatino Linotype"/>
          <w:sz w:val="26"/>
          <w:szCs w:val="26"/>
          <w:lang w:eastAsia="pt-BR"/>
        </w:rPr>
        <w:t xml:space="preserve">. Trata-se, ainda, de medida </w:t>
      </w:r>
      <w:r w:rsidR="00561722">
        <w:rPr>
          <w:rFonts w:ascii="Palatino Linotype" w:eastAsia="Times New Roman" w:hAnsi="Palatino Linotype"/>
          <w:i/>
          <w:sz w:val="26"/>
          <w:szCs w:val="26"/>
          <w:lang w:eastAsia="pt-BR"/>
        </w:rPr>
        <w:t>desnecessária</w:t>
      </w:r>
      <w:r w:rsidR="00561722">
        <w:rPr>
          <w:rFonts w:ascii="Palatino Linotype" w:eastAsia="Times New Roman" w:hAnsi="Palatino Linotype"/>
          <w:sz w:val="26"/>
          <w:szCs w:val="26"/>
          <w:lang w:eastAsia="pt-BR"/>
        </w:rPr>
        <w:t>, considerando alternativas manifestas e menos gravosas a liberdades fundamentais, elencadas em momento anterior deste voto.</w:t>
      </w:r>
    </w:p>
    <w:p w:rsidR="00561722" w:rsidRDefault="00497263"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À míngua de razões de segunda ordem capazes de sustentar a norma proibitiva, concluo pela sua inconstitucionalidade, por ofensa aos artigos 1º, IV; 5º, </w:t>
      </w:r>
      <w:r>
        <w:rPr>
          <w:rFonts w:ascii="Palatino Linotype" w:eastAsia="Times New Roman" w:hAnsi="Palatino Linotype"/>
          <w:i/>
          <w:sz w:val="26"/>
          <w:szCs w:val="26"/>
          <w:lang w:eastAsia="pt-BR"/>
        </w:rPr>
        <w:t>caput</w:t>
      </w:r>
      <w:r w:rsidR="00203336">
        <w:rPr>
          <w:rFonts w:ascii="Palatino Linotype" w:eastAsia="Times New Roman" w:hAnsi="Palatino Linotype"/>
          <w:sz w:val="26"/>
          <w:szCs w:val="26"/>
          <w:lang w:eastAsia="pt-BR"/>
        </w:rPr>
        <w:t>,</w:t>
      </w:r>
      <w:r>
        <w:rPr>
          <w:rFonts w:ascii="Palatino Linotype" w:eastAsia="Times New Roman" w:hAnsi="Palatino Linotype"/>
          <w:sz w:val="26"/>
          <w:szCs w:val="26"/>
          <w:lang w:eastAsia="pt-BR"/>
        </w:rPr>
        <w:t xml:space="preserve"> XIII</w:t>
      </w:r>
      <w:r w:rsidR="00203336">
        <w:rPr>
          <w:rFonts w:ascii="Palatino Linotype" w:eastAsia="Times New Roman" w:hAnsi="Palatino Linotype"/>
          <w:sz w:val="26"/>
          <w:szCs w:val="26"/>
          <w:lang w:eastAsia="pt-BR"/>
        </w:rPr>
        <w:t xml:space="preserve"> e XXXII</w:t>
      </w:r>
      <w:r>
        <w:rPr>
          <w:rFonts w:ascii="Palatino Linotype" w:eastAsia="Times New Roman" w:hAnsi="Palatino Linotype"/>
          <w:sz w:val="26"/>
          <w:szCs w:val="26"/>
          <w:lang w:eastAsia="pt-BR"/>
        </w:rPr>
        <w:t>;</w:t>
      </w:r>
      <w:r w:rsidR="002744F1">
        <w:rPr>
          <w:rFonts w:ascii="Palatino Linotype" w:eastAsia="Times New Roman" w:hAnsi="Palatino Linotype"/>
          <w:sz w:val="26"/>
          <w:szCs w:val="26"/>
          <w:lang w:eastAsia="pt-BR"/>
        </w:rPr>
        <w:t xml:space="preserve"> 22, </w:t>
      </w:r>
      <w:r w:rsidR="002744F1">
        <w:rPr>
          <w:rFonts w:ascii="Palatino Linotype" w:hAnsi="Palatino Linotype"/>
          <w:sz w:val="26"/>
          <w:szCs w:val="26"/>
        </w:rPr>
        <w:t>incisos IX,</w:t>
      </w:r>
      <w:r w:rsidR="002744F1" w:rsidRPr="00C41437">
        <w:rPr>
          <w:rFonts w:ascii="Palatino Linotype" w:hAnsi="Palatino Linotype"/>
          <w:sz w:val="26"/>
          <w:szCs w:val="26"/>
        </w:rPr>
        <w:t xml:space="preserve"> XI</w:t>
      </w:r>
      <w:r w:rsidR="002744F1">
        <w:rPr>
          <w:rFonts w:ascii="Palatino Linotype" w:hAnsi="Palatino Linotype"/>
          <w:sz w:val="26"/>
          <w:szCs w:val="26"/>
        </w:rPr>
        <w:t xml:space="preserve"> e XVI;</w:t>
      </w:r>
      <w:r>
        <w:rPr>
          <w:rFonts w:ascii="Palatino Linotype" w:eastAsia="Times New Roman" w:hAnsi="Palatino Linotype"/>
          <w:sz w:val="26"/>
          <w:szCs w:val="26"/>
          <w:lang w:eastAsia="pt-BR"/>
        </w:rPr>
        <w:t xml:space="preserve"> 144, § 10, I; 170, </w:t>
      </w:r>
      <w:r>
        <w:rPr>
          <w:rFonts w:ascii="Palatino Linotype" w:eastAsia="Times New Roman" w:hAnsi="Palatino Linotype"/>
          <w:i/>
          <w:sz w:val="26"/>
          <w:szCs w:val="26"/>
          <w:lang w:eastAsia="pt-BR"/>
        </w:rPr>
        <w:t>caput</w:t>
      </w:r>
      <w:r w:rsidR="00203336">
        <w:rPr>
          <w:rFonts w:ascii="Palatino Linotype" w:eastAsia="Times New Roman" w:hAnsi="Palatino Linotype"/>
          <w:sz w:val="26"/>
          <w:szCs w:val="26"/>
          <w:lang w:eastAsia="pt-BR"/>
        </w:rPr>
        <w:t>, IV,</w:t>
      </w:r>
      <w:r>
        <w:rPr>
          <w:rFonts w:ascii="Palatino Linotype" w:eastAsia="Times New Roman" w:hAnsi="Palatino Linotype"/>
          <w:sz w:val="26"/>
          <w:szCs w:val="26"/>
          <w:lang w:eastAsia="pt-BR"/>
        </w:rPr>
        <w:t xml:space="preserve"> V</w:t>
      </w:r>
      <w:r w:rsidR="00203336">
        <w:rPr>
          <w:rFonts w:ascii="Palatino Linotype" w:eastAsia="Times New Roman" w:hAnsi="Palatino Linotype"/>
          <w:sz w:val="26"/>
          <w:szCs w:val="26"/>
          <w:lang w:eastAsia="pt-BR"/>
        </w:rPr>
        <w:t xml:space="preserve"> e VIII</w:t>
      </w:r>
      <w:r>
        <w:rPr>
          <w:rFonts w:ascii="Palatino Linotype" w:eastAsia="Times New Roman" w:hAnsi="Palatino Linotype"/>
          <w:sz w:val="26"/>
          <w:szCs w:val="26"/>
          <w:lang w:eastAsia="pt-BR"/>
        </w:rPr>
        <w:t>;</w:t>
      </w:r>
      <w:r w:rsidR="00203336">
        <w:rPr>
          <w:rFonts w:ascii="Palatino Linotype" w:eastAsia="Times New Roman" w:hAnsi="Palatino Linotype"/>
          <w:sz w:val="26"/>
          <w:szCs w:val="26"/>
          <w:lang w:eastAsia="pt-BR"/>
        </w:rPr>
        <w:t xml:space="preserve"> e 173, § 4º, todos da Carta Magna.</w:t>
      </w:r>
    </w:p>
    <w:p w:rsidR="001B28FA" w:rsidRPr="00497263" w:rsidRDefault="001B28FA" w:rsidP="00211B8E">
      <w:pPr>
        <w:spacing w:before="100" w:beforeAutospacing="1" w:after="0" w:line="264" w:lineRule="auto"/>
        <w:ind w:firstLine="567"/>
        <w:rPr>
          <w:rFonts w:ascii="Palatino Linotype" w:eastAsia="Times New Roman" w:hAnsi="Palatino Linotype"/>
          <w:sz w:val="26"/>
          <w:szCs w:val="26"/>
          <w:lang w:eastAsia="pt-BR"/>
        </w:rPr>
      </w:pPr>
      <w:r>
        <w:rPr>
          <w:rFonts w:ascii="Palatino Linotype" w:eastAsia="Times New Roman" w:hAnsi="Palatino Linotype"/>
          <w:sz w:val="26"/>
          <w:szCs w:val="26"/>
          <w:lang w:eastAsia="pt-BR"/>
        </w:rPr>
        <w:t xml:space="preserve">Demais disso, observo que a inconstitucionalidade dos artigos 1º e 2º da lei hostilizada é prejudicial à vigência dos artigos 3º e 4º da mesma norma, o que impõe a uso da técnica de declaração </w:t>
      </w:r>
      <w:r>
        <w:rPr>
          <w:rFonts w:ascii="Palatino Linotype" w:eastAsia="Times New Roman" w:hAnsi="Palatino Linotype"/>
          <w:i/>
          <w:sz w:val="26"/>
          <w:szCs w:val="26"/>
          <w:lang w:eastAsia="pt-BR"/>
        </w:rPr>
        <w:t>por arrastamento</w:t>
      </w:r>
      <w:r>
        <w:rPr>
          <w:rFonts w:ascii="Palatino Linotype" w:eastAsia="Times New Roman" w:hAnsi="Palatino Linotype"/>
          <w:sz w:val="26"/>
          <w:szCs w:val="26"/>
          <w:lang w:eastAsia="pt-BR"/>
        </w:rPr>
        <w:t xml:space="preserve"> para estes artigos.</w:t>
      </w:r>
    </w:p>
    <w:p w:rsidR="0042116B" w:rsidRDefault="0042116B" w:rsidP="0026575A">
      <w:pPr>
        <w:tabs>
          <w:tab w:val="left" w:pos="2175"/>
        </w:tabs>
        <w:spacing w:before="100" w:beforeAutospacing="1" w:after="0" w:line="264" w:lineRule="auto"/>
        <w:ind w:firstLine="567"/>
        <w:rPr>
          <w:rFonts w:ascii="Palatino Linotype" w:eastAsia="Times New Roman" w:hAnsi="Palatino Linotype"/>
          <w:sz w:val="26"/>
          <w:szCs w:val="26"/>
          <w:lang w:eastAsia="pt-BR"/>
        </w:rPr>
      </w:pPr>
      <w:r w:rsidRPr="0042116B">
        <w:rPr>
          <w:rFonts w:ascii="Palatino Linotype" w:eastAsia="Times New Roman" w:hAnsi="Palatino Linotype"/>
          <w:i/>
          <w:sz w:val="26"/>
          <w:szCs w:val="26"/>
          <w:lang w:eastAsia="pt-BR"/>
        </w:rPr>
        <w:t>Ex positis</w:t>
      </w:r>
      <w:r>
        <w:rPr>
          <w:rFonts w:ascii="Palatino Linotype" w:eastAsia="Times New Roman" w:hAnsi="Palatino Linotype"/>
          <w:sz w:val="26"/>
          <w:szCs w:val="26"/>
          <w:lang w:eastAsia="pt-BR"/>
        </w:rPr>
        <w:t>,</w:t>
      </w:r>
      <w:r w:rsidR="000301B2">
        <w:rPr>
          <w:rFonts w:ascii="Palatino Linotype" w:eastAsia="Times New Roman" w:hAnsi="Palatino Linotype"/>
          <w:sz w:val="26"/>
          <w:szCs w:val="26"/>
          <w:lang w:eastAsia="pt-BR"/>
        </w:rPr>
        <w:t xml:space="preserve"> julgo procedente a Arguição de Descumprimento de Preceito Fundamental para declarar incons</w:t>
      </w:r>
      <w:r w:rsidR="00905C1E">
        <w:rPr>
          <w:rFonts w:ascii="Palatino Linotype" w:eastAsia="Times New Roman" w:hAnsi="Palatino Linotype"/>
          <w:sz w:val="26"/>
          <w:szCs w:val="26"/>
          <w:lang w:eastAsia="pt-BR"/>
        </w:rPr>
        <w:t xml:space="preserve">titucional, </w:t>
      </w:r>
      <w:r w:rsidR="00905C1E">
        <w:rPr>
          <w:rFonts w:ascii="Palatino Linotype" w:eastAsia="Times New Roman" w:hAnsi="Palatino Linotype"/>
          <w:i/>
          <w:sz w:val="26"/>
          <w:szCs w:val="26"/>
          <w:lang w:eastAsia="pt-BR"/>
        </w:rPr>
        <w:t>in totum</w:t>
      </w:r>
      <w:r w:rsidR="00905C1E">
        <w:rPr>
          <w:rFonts w:ascii="Palatino Linotype" w:eastAsia="Times New Roman" w:hAnsi="Palatino Linotype"/>
          <w:sz w:val="26"/>
          <w:szCs w:val="26"/>
          <w:lang w:eastAsia="pt-BR"/>
        </w:rPr>
        <w:t>,</w:t>
      </w:r>
      <w:r w:rsidR="000301B2">
        <w:rPr>
          <w:rFonts w:ascii="Palatino Linotype" w:eastAsia="Times New Roman" w:hAnsi="Palatino Linotype"/>
          <w:sz w:val="26"/>
          <w:szCs w:val="26"/>
          <w:lang w:eastAsia="pt-BR"/>
        </w:rPr>
        <w:t xml:space="preserve"> </w:t>
      </w:r>
      <w:r w:rsidR="000301B2" w:rsidRPr="000301B2">
        <w:rPr>
          <w:rFonts w:ascii="Palatino Linotype" w:eastAsia="Times New Roman" w:hAnsi="Palatino Linotype"/>
          <w:sz w:val="26"/>
          <w:szCs w:val="26"/>
          <w:lang w:eastAsia="pt-BR"/>
        </w:rPr>
        <w:t>a Lei Municipal de Fortaleza nº 10.553/2016</w:t>
      </w:r>
      <w:r w:rsidR="00AE4E30">
        <w:rPr>
          <w:rFonts w:ascii="Palatino Linotype" w:eastAsia="Times New Roman" w:hAnsi="Palatino Linotype"/>
          <w:sz w:val="26"/>
          <w:szCs w:val="26"/>
          <w:lang w:eastAsia="pt-BR"/>
        </w:rPr>
        <w:t>.</w:t>
      </w:r>
    </w:p>
    <w:p w:rsidR="0042116B" w:rsidRDefault="002E4EAE" w:rsidP="00123797">
      <w:pPr>
        <w:tabs>
          <w:tab w:val="left" w:pos="2175"/>
        </w:tabs>
        <w:spacing w:before="100" w:beforeAutospacing="1" w:after="0" w:line="264" w:lineRule="auto"/>
        <w:ind w:firstLine="567"/>
      </w:pPr>
      <w:r>
        <w:rPr>
          <w:rFonts w:ascii="Palatino Linotype" w:eastAsia="Times New Roman" w:hAnsi="Palatino Linotype"/>
          <w:sz w:val="26"/>
          <w:szCs w:val="26"/>
          <w:lang w:eastAsia="pt-BR"/>
        </w:rPr>
        <w:t>É como voto.</w:t>
      </w:r>
    </w:p>
    <w:sectPr w:rsidR="0042116B" w:rsidSect="006537FE">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09" w:rsidRDefault="00431309" w:rsidP="00E41041">
      <w:pPr>
        <w:spacing w:before="0" w:after="0" w:line="240" w:lineRule="auto"/>
      </w:pPr>
      <w:r>
        <w:separator/>
      </w:r>
    </w:p>
  </w:endnote>
  <w:endnote w:type="continuationSeparator" w:id="0">
    <w:p w:rsidR="00431309" w:rsidRDefault="00431309" w:rsidP="00E410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3712"/>
      <w:docPartObj>
        <w:docPartGallery w:val="Page Numbers (Bottom of Page)"/>
        <w:docPartUnique/>
      </w:docPartObj>
    </w:sdtPr>
    <w:sdtEndPr/>
    <w:sdtContent>
      <w:p w:rsidR="00F23B26" w:rsidRDefault="00F23B26" w:rsidP="004C199A">
        <w:pPr>
          <w:pStyle w:val="Rodap"/>
          <w:jc w:val="left"/>
        </w:pPr>
        <w:r>
          <w:rPr>
            <w:rFonts w:ascii="Palatino Linotype" w:eastAsia="Arial Unicode MS" w:hAnsi="Palatino Linotype"/>
            <w:b/>
            <w:bCs/>
            <w:smallCaps/>
            <w:spacing w:val="4"/>
            <w:sz w:val="26"/>
            <w:szCs w:val="24"/>
            <w:lang w:eastAsia="pt-BR"/>
          </w:rPr>
          <w:t>ADPF 449</w:t>
        </w:r>
      </w:p>
      <w:p w:rsidR="00F23B26" w:rsidRDefault="009477FF">
        <w:pPr>
          <w:pStyle w:val="Rodap"/>
          <w:jc w:val="right"/>
        </w:pPr>
        <w:r>
          <w:fldChar w:fldCharType="begin"/>
        </w:r>
        <w:r w:rsidR="00F23B26">
          <w:instrText>PAGE   \* MERGEFORMAT</w:instrText>
        </w:r>
        <w:r>
          <w:fldChar w:fldCharType="separate"/>
        </w:r>
        <w:r w:rsidR="0050047B">
          <w:rPr>
            <w:noProof/>
          </w:rPr>
          <w:t>1</w:t>
        </w:r>
        <w:r>
          <w:fldChar w:fldCharType="end"/>
        </w:r>
      </w:p>
    </w:sdtContent>
  </w:sdt>
  <w:p w:rsidR="00F23B26" w:rsidRDefault="00F23B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09" w:rsidRDefault="00431309" w:rsidP="00E41041">
      <w:pPr>
        <w:spacing w:before="0" w:after="0" w:line="240" w:lineRule="auto"/>
      </w:pPr>
      <w:r>
        <w:separator/>
      </w:r>
    </w:p>
  </w:footnote>
  <w:footnote w:type="continuationSeparator" w:id="0">
    <w:p w:rsidR="00431309" w:rsidRDefault="00431309" w:rsidP="00E4104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F5C"/>
    <w:multiLevelType w:val="hybridMultilevel"/>
    <w:tmpl w:val="02D85538"/>
    <w:lvl w:ilvl="0" w:tplc="412A56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618A3B37"/>
    <w:multiLevelType w:val="multilevel"/>
    <w:tmpl w:val="66FE90E8"/>
    <w:lvl w:ilvl="0">
      <w:start w:val="1"/>
      <w:numFmt w:val="decimal"/>
      <w:pStyle w:val="Ttulo1"/>
      <w:lvlText w:val="%1."/>
      <w:lvlJc w:val="left"/>
      <w:pPr>
        <w:ind w:left="1778" w:hanging="360"/>
      </w:pPr>
      <w:rPr>
        <w:rFonts w:hint="default"/>
      </w:rPr>
    </w:lvl>
    <w:lvl w:ilvl="1">
      <w:start w:val="1"/>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68"/>
    <w:rsid w:val="0000287A"/>
    <w:rsid w:val="0001166A"/>
    <w:rsid w:val="00013104"/>
    <w:rsid w:val="00020DBE"/>
    <w:rsid w:val="00024B46"/>
    <w:rsid w:val="000301B2"/>
    <w:rsid w:val="00033671"/>
    <w:rsid w:val="000401F5"/>
    <w:rsid w:val="000546F9"/>
    <w:rsid w:val="00055473"/>
    <w:rsid w:val="00055A63"/>
    <w:rsid w:val="00056424"/>
    <w:rsid w:val="000867EE"/>
    <w:rsid w:val="00092513"/>
    <w:rsid w:val="00095A80"/>
    <w:rsid w:val="000A0A83"/>
    <w:rsid w:val="000A1E35"/>
    <w:rsid w:val="000A64F0"/>
    <w:rsid w:val="000B13C5"/>
    <w:rsid w:val="000B38EE"/>
    <w:rsid w:val="000B57F6"/>
    <w:rsid w:val="000D15DE"/>
    <w:rsid w:val="000D1FFB"/>
    <w:rsid w:val="000D64E9"/>
    <w:rsid w:val="000D6C70"/>
    <w:rsid w:val="000D7578"/>
    <w:rsid w:val="000E04DE"/>
    <w:rsid w:val="000E26A5"/>
    <w:rsid w:val="000E7248"/>
    <w:rsid w:val="00100968"/>
    <w:rsid w:val="00101525"/>
    <w:rsid w:val="00101BA7"/>
    <w:rsid w:val="00112016"/>
    <w:rsid w:val="00116DE3"/>
    <w:rsid w:val="00123797"/>
    <w:rsid w:val="0012656C"/>
    <w:rsid w:val="001435E6"/>
    <w:rsid w:val="00144046"/>
    <w:rsid w:val="001554D3"/>
    <w:rsid w:val="00156342"/>
    <w:rsid w:val="00165299"/>
    <w:rsid w:val="00170F75"/>
    <w:rsid w:val="00173335"/>
    <w:rsid w:val="001870DA"/>
    <w:rsid w:val="001A4933"/>
    <w:rsid w:val="001B28FA"/>
    <w:rsid w:val="001D29D1"/>
    <w:rsid w:val="001D598A"/>
    <w:rsid w:val="001E54E9"/>
    <w:rsid w:val="001F6ADB"/>
    <w:rsid w:val="00203336"/>
    <w:rsid w:val="00211B8E"/>
    <w:rsid w:val="002264CB"/>
    <w:rsid w:val="002451E0"/>
    <w:rsid w:val="00247CE7"/>
    <w:rsid w:val="00250C64"/>
    <w:rsid w:val="002644BB"/>
    <w:rsid w:val="0026575A"/>
    <w:rsid w:val="002744F1"/>
    <w:rsid w:val="00277F2D"/>
    <w:rsid w:val="0028366D"/>
    <w:rsid w:val="00287B04"/>
    <w:rsid w:val="002C1F0A"/>
    <w:rsid w:val="002D20E5"/>
    <w:rsid w:val="002E4EAE"/>
    <w:rsid w:val="002F399A"/>
    <w:rsid w:val="002F4810"/>
    <w:rsid w:val="002F79D1"/>
    <w:rsid w:val="00302651"/>
    <w:rsid w:val="0030748A"/>
    <w:rsid w:val="0031013F"/>
    <w:rsid w:val="00310D3B"/>
    <w:rsid w:val="00317ABF"/>
    <w:rsid w:val="00321930"/>
    <w:rsid w:val="003224E8"/>
    <w:rsid w:val="00327077"/>
    <w:rsid w:val="00341E17"/>
    <w:rsid w:val="0034396D"/>
    <w:rsid w:val="00350170"/>
    <w:rsid w:val="003523DF"/>
    <w:rsid w:val="00371F6B"/>
    <w:rsid w:val="003728F6"/>
    <w:rsid w:val="0037297F"/>
    <w:rsid w:val="0038757A"/>
    <w:rsid w:val="00391D9D"/>
    <w:rsid w:val="003A0E9F"/>
    <w:rsid w:val="003B3E21"/>
    <w:rsid w:val="003D449C"/>
    <w:rsid w:val="003D45FE"/>
    <w:rsid w:val="003D47EA"/>
    <w:rsid w:val="003E487E"/>
    <w:rsid w:val="003E7737"/>
    <w:rsid w:val="003F1EB6"/>
    <w:rsid w:val="00417000"/>
    <w:rsid w:val="0042116B"/>
    <w:rsid w:val="004222E2"/>
    <w:rsid w:val="004271AD"/>
    <w:rsid w:val="00431309"/>
    <w:rsid w:val="00436DF4"/>
    <w:rsid w:val="0045176F"/>
    <w:rsid w:val="00457455"/>
    <w:rsid w:val="00463A8D"/>
    <w:rsid w:val="0046495C"/>
    <w:rsid w:val="00471F42"/>
    <w:rsid w:val="00476A8E"/>
    <w:rsid w:val="00497263"/>
    <w:rsid w:val="004A0D63"/>
    <w:rsid w:val="004A3130"/>
    <w:rsid w:val="004B1906"/>
    <w:rsid w:val="004B4208"/>
    <w:rsid w:val="004C199A"/>
    <w:rsid w:val="004C6CB5"/>
    <w:rsid w:val="004D3250"/>
    <w:rsid w:val="004D7EAF"/>
    <w:rsid w:val="004F1D96"/>
    <w:rsid w:val="0050047B"/>
    <w:rsid w:val="00502812"/>
    <w:rsid w:val="00502E57"/>
    <w:rsid w:val="00512023"/>
    <w:rsid w:val="00527C0C"/>
    <w:rsid w:val="005306DA"/>
    <w:rsid w:val="00535A1D"/>
    <w:rsid w:val="00561722"/>
    <w:rsid w:val="00595F08"/>
    <w:rsid w:val="005A044C"/>
    <w:rsid w:val="005A0485"/>
    <w:rsid w:val="005A0EB8"/>
    <w:rsid w:val="005A4B49"/>
    <w:rsid w:val="005B0342"/>
    <w:rsid w:val="005B4D61"/>
    <w:rsid w:val="005C28C0"/>
    <w:rsid w:val="005C3984"/>
    <w:rsid w:val="005C5028"/>
    <w:rsid w:val="005C7DF7"/>
    <w:rsid w:val="005D0B76"/>
    <w:rsid w:val="005E0EFA"/>
    <w:rsid w:val="005E12B6"/>
    <w:rsid w:val="005F19FC"/>
    <w:rsid w:val="00602541"/>
    <w:rsid w:val="00613A83"/>
    <w:rsid w:val="0062651F"/>
    <w:rsid w:val="00626FD0"/>
    <w:rsid w:val="006309D0"/>
    <w:rsid w:val="006379C0"/>
    <w:rsid w:val="00640560"/>
    <w:rsid w:val="0064144E"/>
    <w:rsid w:val="00642997"/>
    <w:rsid w:val="006537FE"/>
    <w:rsid w:val="006627CA"/>
    <w:rsid w:val="00667AA1"/>
    <w:rsid w:val="00680E57"/>
    <w:rsid w:val="006816AB"/>
    <w:rsid w:val="006A6849"/>
    <w:rsid w:val="006B14E5"/>
    <w:rsid w:val="006B61FE"/>
    <w:rsid w:val="006C23AE"/>
    <w:rsid w:val="006D6B66"/>
    <w:rsid w:val="006D79B4"/>
    <w:rsid w:val="006E0FA5"/>
    <w:rsid w:val="00701DF7"/>
    <w:rsid w:val="007021DF"/>
    <w:rsid w:val="0071012B"/>
    <w:rsid w:val="007326DD"/>
    <w:rsid w:val="007403E8"/>
    <w:rsid w:val="007432F5"/>
    <w:rsid w:val="00743BBC"/>
    <w:rsid w:val="00743D63"/>
    <w:rsid w:val="00756B8E"/>
    <w:rsid w:val="00763A68"/>
    <w:rsid w:val="007B3845"/>
    <w:rsid w:val="007B40D9"/>
    <w:rsid w:val="007B4B50"/>
    <w:rsid w:val="007D0937"/>
    <w:rsid w:val="007D6389"/>
    <w:rsid w:val="007D7495"/>
    <w:rsid w:val="007E7228"/>
    <w:rsid w:val="007F26DC"/>
    <w:rsid w:val="00810FEE"/>
    <w:rsid w:val="0081699F"/>
    <w:rsid w:val="00841069"/>
    <w:rsid w:val="0084475D"/>
    <w:rsid w:val="00846B08"/>
    <w:rsid w:val="0085413C"/>
    <w:rsid w:val="00880609"/>
    <w:rsid w:val="0088253B"/>
    <w:rsid w:val="00884036"/>
    <w:rsid w:val="008A4BE5"/>
    <w:rsid w:val="008B1ADE"/>
    <w:rsid w:val="008B36F5"/>
    <w:rsid w:val="008D6689"/>
    <w:rsid w:val="008E5F57"/>
    <w:rsid w:val="008F5574"/>
    <w:rsid w:val="00905C1E"/>
    <w:rsid w:val="00922168"/>
    <w:rsid w:val="0092273A"/>
    <w:rsid w:val="00924595"/>
    <w:rsid w:val="0092504A"/>
    <w:rsid w:val="009453B3"/>
    <w:rsid w:val="00946AE2"/>
    <w:rsid w:val="009477FF"/>
    <w:rsid w:val="0095032B"/>
    <w:rsid w:val="009553E7"/>
    <w:rsid w:val="009628AA"/>
    <w:rsid w:val="009676AE"/>
    <w:rsid w:val="00973DC2"/>
    <w:rsid w:val="00974D3A"/>
    <w:rsid w:val="009844F8"/>
    <w:rsid w:val="009A4948"/>
    <w:rsid w:val="009B22C9"/>
    <w:rsid w:val="009C0810"/>
    <w:rsid w:val="009C4F13"/>
    <w:rsid w:val="009C54E7"/>
    <w:rsid w:val="009D2606"/>
    <w:rsid w:val="009F660D"/>
    <w:rsid w:val="00A047EE"/>
    <w:rsid w:val="00A12191"/>
    <w:rsid w:val="00A14443"/>
    <w:rsid w:val="00A14F4D"/>
    <w:rsid w:val="00A34D14"/>
    <w:rsid w:val="00A41769"/>
    <w:rsid w:val="00A44CA3"/>
    <w:rsid w:val="00A4572B"/>
    <w:rsid w:val="00A46440"/>
    <w:rsid w:val="00A642C0"/>
    <w:rsid w:val="00A677F0"/>
    <w:rsid w:val="00A72489"/>
    <w:rsid w:val="00A815B1"/>
    <w:rsid w:val="00A82FDE"/>
    <w:rsid w:val="00A86A26"/>
    <w:rsid w:val="00AA2740"/>
    <w:rsid w:val="00AB7F42"/>
    <w:rsid w:val="00AD2698"/>
    <w:rsid w:val="00AD278B"/>
    <w:rsid w:val="00AD3167"/>
    <w:rsid w:val="00AD7D87"/>
    <w:rsid w:val="00AE3DAF"/>
    <w:rsid w:val="00AE4E30"/>
    <w:rsid w:val="00AF74E2"/>
    <w:rsid w:val="00B171DE"/>
    <w:rsid w:val="00B17C65"/>
    <w:rsid w:val="00B2392F"/>
    <w:rsid w:val="00B2609E"/>
    <w:rsid w:val="00B406F9"/>
    <w:rsid w:val="00B52E74"/>
    <w:rsid w:val="00B53A89"/>
    <w:rsid w:val="00B67488"/>
    <w:rsid w:val="00B70689"/>
    <w:rsid w:val="00B80B56"/>
    <w:rsid w:val="00B83430"/>
    <w:rsid w:val="00B909C7"/>
    <w:rsid w:val="00B957FB"/>
    <w:rsid w:val="00BA72ED"/>
    <w:rsid w:val="00BA7DD4"/>
    <w:rsid w:val="00BB296C"/>
    <w:rsid w:val="00BB6FDF"/>
    <w:rsid w:val="00BC391E"/>
    <w:rsid w:val="00BC45CF"/>
    <w:rsid w:val="00BC78FD"/>
    <w:rsid w:val="00BD2039"/>
    <w:rsid w:val="00BD20E1"/>
    <w:rsid w:val="00BE6F3C"/>
    <w:rsid w:val="00C0694A"/>
    <w:rsid w:val="00C07AD7"/>
    <w:rsid w:val="00C1265D"/>
    <w:rsid w:val="00C14340"/>
    <w:rsid w:val="00C21C7B"/>
    <w:rsid w:val="00C24681"/>
    <w:rsid w:val="00C24DEA"/>
    <w:rsid w:val="00C35EA5"/>
    <w:rsid w:val="00C35ED8"/>
    <w:rsid w:val="00C41437"/>
    <w:rsid w:val="00C53C85"/>
    <w:rsid w:val="00C54F04"/>
    <w:rsid w:val="00C64CF6"/>
    <w:rsid w:val="00C6627F"/>
    <w:rsid w:val="00C8480E"/>
    <w:rsid w:val="00CA3A82"/>
    <w:rsid w:val="00CB43E4"/>
    <w:rsid w:val="00CB5DE0"/>
    <w:rsid w:val="00CB7A69"/>
    <w:rsid w:val="00CC7F23"/>
    <w:rsid w:val="00CD6864"/>
    <w:rsid w:val="00CE2510"/>
    <w:rsid w:val="00D07CD6"/>
    <w:rsid w:val="00D16F0A"/>
    <w:rsid w:val="00D40CBE"/>
    <w:rsid w:val="00D42AEE"/>
    <w:rsid w:val="00D47570"/>
    <w:rsid w:val="00D52E5B"/>
    <w:rsid w:val="00D545BC"/>
    <w:rsid w:val="00D61F4C"/>
    <w:rsid w:val="00D62253"/>
    <w:rsid w:val="00D62935"/>
    <w:rsid w:val="00D72821"/>
    <w:rsid w:val="00D85701"/>
    <w:rsid w:val="00D922DB"/>
    <w:rsid w:val="00DA395E"/>
    <w:rsid w:val="00DA6CDA"/>
    <w:rsid w:val="00DB0ECC"/>
    <w:rsid w:val="00DC1F89"/>
    <w:rsid w:val="00DC212A"/>
    <w:rsid w:val="00DC6638"/>
    <w:rsid w:val="00DC6D2B"/>
    <w:rsid w:val="00DD1F86"/>
    <w:rsid w:val="00DE0342"/>
    <w:rsid w:val="00DE2712"/>
    <w:rsid w:val="00DE303B"/>
    <w:rsid w:val="00DF048B"/>
    <w:rsid w:val="00DF34F6"/>
    <w:rsid w:val="00DF3672"/>
    <w:rsid w:val="00E0345B"/>
    <w:rsid w:val="00E057ED"/>
    <w:rsid w:val="00E101D5"/>
    <w:rsid w:val="00E232BB"/>
    <w:rsid w:val="00E41041"/>
    <w:rsid w:val="00E42D41"/>
    <w:rsid w:val="00E453CC"/>
    <w:rsid w:val="00E51877"/>
    <w:rsid w:val="00E542BD"/>
    <w:rsid w:val="00E67489"/>
    <w:rsid w:val="00E86696"/>
    <w:rsid w:val="00E970A0"/>
    <w:rsid w:val="00EB6D24"/>
    <w:rsid w:val="00EC0079"/>
    <w:rsid w:val="00EC35D5"/>
    <w:rsid w:val="00EE331A"/>
    <w:rsid w:val="00F1482B"/>
    <w:rsid w:val="00F1484D"/>
    <w:rsid w:val="00F17B79"/>
    <w:rsid w:val="00F23B26"/>
    <w:rsid w:val="00F35108"/>
    <w:rsid w:val="00F36347"/>
    <w:rsid w:val="00F501CA"/>
    <w:rsid w:val="00F526A3"/>
    <w:rsid w:val="00F56E16"/>
    <w:rsid w:val="00F62F0B"/>
    <w:rsid w:val="00F772B4"/>
    <w:rsid w:val="00F7770D"/>
    <w:rsid w:val="00F77E2E"/>
    <w:rsid w:val="00F77F01"/>
    <w:rsid w:val="00F8454A"/>
    <w:rsid w:val="00FB0CF5"/>
    <w:rsid w:val="00FB32A4"/>
    <w:rsid w:val="00FC755B"/>
    <w:rsid w:val="00FF40DE"/>
    <w:rsid w:val="00FF4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C6DD58-F64C-434E-BE24-15473B8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55"/>
    <w:pPr>
      <w:spacing w:before="240" w:after="60" w:line="360" w:lineRule="auto"/>
      <w:ind w:firstLine="709"/>
      <w:jc w:val="both"/>
    </w:pPr>
    <w:rPr>
      <w:rFonts w:ascii="Times New Roman" w:hAnsi="Times New Roman"/>
      <w:sz w:val="24"/>
      <w:szCs w:val="22"/>
    </w:rPr>
  </w:style>
  <w:style w:type="paragraph" w:styleId="Ttulo1">
    <w:name w:val="heading 1"/>
    <w:aliases w:val="Titulo 1"/>
    <w:basedOn w:val="Normal"/>
    <w:next w:val="Normal"/>
    <w:link w:val="Ttulo1Char"/>
    <w:uiPriority w:val="9"/>
    <w:qFormat/>
    <w:rsid w:val="00457455"/>
    <w:pPr>
      <w:keepNext/>
      <w:keepLines/>
      <w:numPr>
        <w:numId w:val="2"/>
      </w:numPr>
      <w:spacing w:before="0" w:after="0" w:line="480" w:lineRule="auto"/>
      <w:outlineLvl w:val="0"/>
    </w:pPr>
    <w:rPr>
      <w:rFonts w:eastAsiaTheme="majorEastAsia" w:cstheme="majorBidi"/>
      <w:b/>
      <w:bCs/>
      <w:szCs w:val="28"/>
      <w:lang w:eastAsia="pt-BR"/>
    </w:rPr>
  </w:style>
  <w:style w:type="paragraph" w:styleId="Ttulo2">
    <w:name w:val="heading 2"/>
    <w:basedOn w:val="Normal"/>
    <w:next w:val="Normal"/>
    <w:link w:val="Ttulo2Char"/>
    <w:uiPriority w:val="9"/>
    <w:qFormat/>
    <w:rsid w:val="00457455"/>
    <w:pPr>
      <w:keepNext/>
      <w:keepLines/>
      <w:spacing w:after="0"/>
      <w:ind w:left="357" w:hanging="357"/>
      <w:outlineLvl w:val="1"/>
    </w:pPr>
    <w:rPr>
      <w:rFonts w:eastAsia="Times New Roman"/>
      <w:b/>
      <w:bCs/>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faseIntensa1">
    <w:name w:val="Ênfase Intensa1"/>
    <w:aliases w:val="Quote"/>
    <w:basedOn w:val="Normal"/>
    <w:next w:val="Normal"/>
    <w:link w:val="IntenseEmphasisChar"/>
    <w:uiPriority w:val="29"/>
    <w:qFormat/>
    <w:rsid w:val="00457455"/>
    <w:pPr>
      <w:spacing w:line="240" w:lineRule="auto"/>
      <w:ind w:left="2268" w:firstLine="0"/>
    </w:pPr>
    <w:rPr>
      <w:sz w:val="22"/>
    </w:rPr>
  </w:style>
  <w:style w:type="character" w:customStyle="1" w:styleId="IntenseEmphasisChar">
    <w:name w:val="Intense Emphasis Char"/>
    <w:aliases w:val="Citação Char"/>
    <w:link w:val="nfaseIntensa1"/>
    <w:uiPriority w:val="29"/>
    <w:rsid w:val="00457455"/>
    <w:rPr>
      <w:rFonts w:ascii="Times New Roman" w:hAnsi="Times New Roman"/>
      <w:sz w:val="22"/>
      <w:szCs w:val="22"/>
    </w:rPr>
  </w:style>
  <w:style w:type="paragraph" w:customStyle="1" w:styleId="CabealhodoSumrio1">
    <w:name w:val="Cabeçalho do Sumário1"/>
    <w:basedOn w:val="Ttulo1"/>
    <w:next w:val="Normal"/>
    <w:uiPriority w:val="39"/>
    <w:unhideWhenUsed/>
    <w:qFormat/>
    <w:rsid w:val="00457455"/>
    <w:pPr>
      <w:numPr>
        <w:numId w:val="0"/>
      </w:numPr>
      <w:spacing w:before="480" w:line="276" w:lineRule="auto"/>
      <w:jc w:val="left"/>
      <w:outlineLvl w:val="9"/>
    </w:pPr>
    <w:rPr>
      <w:rFonts w:ascii="Calibri" w:eastAsia="MS Gothic" w:hAnsi="Calibri" w:cs="Times New Roman"/>
      <w:color w:val="365F91"/>
      <w:sz w:val="28"/>
      <w:lang w:val="en-US" w:eastAsia="en-US"/>
    </w:rPr>
  </w:style>
  <w:style w:type="character" w:customStyle="1" w:styleId="Ttulo1Char">
    <w:name w:val="Título 1 Char"/>
    <w:aliases w:val="Titulo 1 Char"/>
    <w:link w:val="Ttulo1"/>
    <w:uiPriority w:val="9"/>
    <w:rsid w:val="00457455"/>
    <w:rPr>
      <w:rFonts w:ascii="Times New Roman" w:eastAsiaTheme="majorEastAsia" w:hAnsi="Times New Roman" w:cstheme="majorBidi"/>
      <w:b/>
      <w:bCs/>
      <w:sz w:val="24"/>
      <w:szCs w:val="28"/>
      <w:lang w:eastAsia="pt-BR"/>
    </w:rPr>
  </w:style>
  <w:style w:type="character" w:customStyle="1" w:styleId="Ttulo2Char">
    <w:name w:val="Título 2 Char"/>
    <w:link w:val="Ttulo2"/>
    <w:uiPriority w:val="9"/>
    <w:rsid w:val="00457455"/>
    <w:rPr>
      <w:rFonts w:ascii="Times New Roman" w:eastAsia="Times New Roman" w:hAnsi="Times New Roman"/>
      <w:b/>
      <w:bCs/>
      <w:sz w:val="24"/>
      <w:szCs w:val="26"/>
      <w:lang w:eastAsia="pt-BR"/>
    </w:rPr>
  </w:style>
  <w:style w:type="character" w:styleId="Forte">
    <w:name w:val="Strong"/>
    <w:aliases w:val="Caixa de resposta"/>
    <w:uiPriority w:val="22"/>
    <w:qFormat/>
    <w:rsid w:val="00457455"/>
    <w:rPr>
      <w:rFonts w:ascii="Times New Roman" w:hAnsi="Times New Roman"/>
      <w:bCs/>
      <w:sz w:val="20"/>
      <w:bdr w:val="single" w:sz="4" w:space="0" w:color="auto"/>
    </w:rPr>
  </w:style>
  <w:style w:type="paragraph" w:styleId="Bibliografia">
    <w:name w:val="Bibliography"/>
    <w:aliases w:val="Caixa com resposta"/>
    <w:uiPriority w:val="1"/>
    <w:qFormat/>
    <w:rsid w:val="00457455"/>
    <w:pPr>
      <w:framePr w:wrap="notBeside" w:vAnchor="text" w:hAnchor="text" w:y="1"/>
      <w:pBdr>
        <w:top w:val="single" w:sz="4" w:space="1" w:color="auto"/>
        <w:left w:val="single" w:sz="4" w:space="4" w:color="auto"/>
        <w:bottom w:val="single" w:sz="4" w:space="1" w:color="auto"/>
        <w:right w:val="single" w:sz="4" w:space="4" w:color="auto"/>
      </w:pBdr>
      <w:ind w:left="708"/>
      <w:jc w:val="both"/>
    </w:pPr>
    <w:rPr>
      <w:rFonts w:ascii="Times New Roman" w:hAnsi="Times New Roman"/>
      <w:szCs w:val="22"/>
    </w:rPr>
  </w:style>
  <w:style w:type="paragraph" w:styleId="Cabealho">
    <w:name w:val="header"/>
    <w:basedOn w:val="Normal"/>
    <w:link w:val="CabealhoChar"/>
    <w:uiPriority w:val="99"/>
    <w:unhideWhenUsed/>
    <w:rsid w:val="00E41041"/>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E41041"/>
    <w:rPr>
      <w:rFonts w:ascii="Times New Roman" w:hAnsi="Times New Roman"/>
      <w:sz w:val="24"/>
      <w:szCs w:val="22"/>
    </w:rPr>
  </w:style>
  <w:style w:type="paragraph" w:styleId="Rodap">
    <w:name w:val="footer"/>
    <w:basedOn w:val="Normal"/>
    <w:link w:val="RodapChar"/>
    <w:uiPriority w:val="99"/>
    <w:unhideWhenUsed/>
    <w:rsid w:val="00E41041"/>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41041"/>
    <w:rPr>
      <w:rFonts w:ascii="Times New Roman" w:hAnsi="Times New Roman"/>
      <w:sz w:val="24"/>
      <w:szCs w:val="22"/>
    </w:rPr>
  </w:style>
  <w:style w:type="paragraph" w:styleId="NormalWeb">
    <w:name w:val="Normal (Web)"/>
    <w:basedOn w:val="Normal"/>
    <w:uiPriority w:val="99"/>
    <w:unhideWhenUsed/>
    <w:rsid w:val="0026575A"/>
    <w:pPr>
      <w:spacing w:before="100" w:beforeAutospacing="1" w:after="119" w:line="240" w:lineRule="auto"/>
      <w:ind w:firstLine="0"/>
      <w:jc w:val="left"/>
    </w:pPr>
    <w:rPr>
      <w:rFonts w:eastAsia="Times New Roman"/>
      <w:szCs w:val="24"/>
      <w:lang w:eastAsia="pt-BR"/>
    </w:rPr>
  </w:style>
  <w:style w:type="paragraph" w:customStyle="1" w:styleId="STF-PadroCentralizado">
    <w:name w:val="STF-PadrãoCentralizado"/>
    <w:basedOn w:val="Normal"/>
    <w:rsid w:val="0042116B"/>
    <w:pPr>
      <w:widowControl w:val="0"/>
      <w:suppressAutoHyphens/>
      <w:autoSpaceDN w:val="0"/>
      <w:spacing w:before="0" w:after="0" w:line="264" w:lineRule="auto"/>
      <w:ind w:firstLine="0"/>
      <w:jc w:val="center"/>
      <w:textAlignment w:val="baseline"/>
    </w:pPr>
    <w:rPr>
      <w:rFonts w:ascii="Palatino Linotype" w:eastAsia="Arial Unicode MS" w:hAnsi="Palatino Linotype" w:cs="Tahoma"/>
      <w:kern w:val="3"/>
      <w:sz w:val="26"/>
      <w:szCs w:val="24"/>
      <w:lang w:eastAsia="pt-BR"/>
    </w:rPr>
  </w:style>
  <w:style w:type="character" w:styleId="Hyperlink">
    <w:name w:val="Hyperlink"/>
    <w:basedOn w:val="Fontepargpadro"/>
    <w:uiPriority w:val="99"/>
    <w:unhideWhenUsed/>
    <w:rsid w:val="006C23AE"/>
    <w:rPr>
      <w:color w:val="0000FF" w:themeColor="hyperlink"/>
      <w:u w:val="single"/>
    </w:rPr>
  </w:style>
  <w:style w:type="paragraph" w:styleId="PargrafodaLista">
    <w:name w:val="List Paragraph"/>
    <w:basedOn w:val="Normal"/>
    <w:uiPriority w:val="34"/>
    <w:qFormat/>
    <w:rsid w:val="00A4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A04712E-5B57-4904-8332-C91DCC4B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15104</Words>
  <Characters>81562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96474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Vinícius da Rós Bodart da Costa</dc:creator>
  <cp:lastModifiedBy>Marcio Vinicius Almeida Falcão</cp:lastModifiedBy>
  <cp:revision>2</cp:revision>
  <dcterms:created xsi:type="dcterms:W3CDTF">2018-12-06T22:23:00Z</dcterms:created>
  <dcterms:modified xsi:type="dcterms:W3CDTF">2018-12-06T22:23:00Z</dcterms:modified>
</cp:coreProperties>
</file>